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0" w:lineRule="auto"/>
        <w:jc w:val="center"/>
        <w:rPr>
          <w:rFonts w:hint="eastAsia" w:ascii="宋体" w:hAnsi="宋体" w:eastAsia="宋体"/>
          <w:b/>
          <w:sz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lang w:val="en-US" w:eastAsia="zh-CN"/>
        </w:rPr>
        <w:t>含氢硅油SC0020B</w:t>
      </w:r>
    </w:p>
    <w:p>
      <w:pPr>
        <w:spacing w:line="209" w:lineRule="exact"/>
        <w:rPr>
          <w:rFonts w:ascii="Times New Roman" w:hAnsi="Times New Roman" w:eastAsia="Times New Roman"/>
          <w:sz w:val="24"/>
        </w:rPr>
      </w:pPr>
    </w:p>
    <w:p>
      <w:pPr>
        <w:spacing w:line="77" w:lineRule="exact"/>
        <w:rPr>
          <w:rFonts w:ascii="Times New Roman" w:hAnsi="Times New Roman" w:eastAsia="Times New Roman"/>
          <w:sz w:val="24"/>
        </w:rPr>
      </w:pPr>
    </w:p>
    <w:p>
      <w:pPr>
        <w:spacing w:line="288" w:lineRule="exact"/>
        <w:ind w:left="220"/>
        <w:rPr>
          <w:rFonts w:ascii="MingLiU" w:hAnsi="MingLiU" w:eastAsia="MingLiU"/>
          <w:b/>
          <w:sz w:val="24"/>
        </w:rPr>
      </w:pPr>
      <w:r>
        <w:rPr>
          <w:rFonts w:ascii="MingLiU" w:hAnsi="MingLiU" w:eastAsia="MingLiU"/>
          <w:b/>
          <w:sz w:val="22"/>
        </w:rPr>
        <w:t>1.</w:t>
      </w:r>
      <w:r>
        <w:rPr>
          <w:rFonts w:ascii="MingLiU" w:hAnsi="MingLiU" w:eastAsia="MingLiU"/>
          <w:b/>
          <w:sz w:val="24"/>
        </w:rPr>
        <w:t>产品描述</w:t>
      </w:r>
    </w:p>
    <w:p>
      <w:pPr>
        <w:spacing w:line="92" w:lineRule="exact"/>
        <w:rPr>
          <w:rFonts w:ascii="Times New Roman" w:hAnsi="Times New Roman" w:eastAsia="Times New Roman"/>
          <w:sz w:val="24"/>
        </w:rPr>
      </w:pPr>
    </w:p>
    <w:p>
      <w:pPr>
        <w:spacing w:line="263" w:lineRule="exact"/>
        <w:ind w:firstLine="440" w:firstLineChars="200"/>
        <w:rPr>
          <w:rFonts w:ascii="MingLiU" w:hAnsi="MingLiU" w:eastAsia="MingLiU"/>
          <w:sz w:val="22"/>
        </w:rPr>
      </w:pPr>
      <w:r>
        <w:rPr>
          <w:rFonts w:ascii="MingLiU" w:hAnsi="MingLiU" w:eastAsia="MingLiU"/>
          <w:sz w:val="22"/>
        </w:rPr>
        <w:t>SC</w:t>
      </w:r>
      <w:r>
        <w:rPr>
          <w:rFonts w:hint="eastAsia" w:ascii="MingLiU" w:hAnsi="MingLiU" w:eastAsia="宋体"/>
          <w:sz w:val="22"/>
          <w:lang w:eastAsia="zh-CN"/>
        </w:rPr>
        <w:t>00</w:t>
      </w:r>
      <w:r>
        <w:rPr>
          <w:rFonts w:hint="eastAsia" w:ascii="MingLiU" w:hAnsi="MingLiU" w:eastAsia="宋体"/>
          <w:sz w:val="22"/>
          <w:lang w:val="en-US" w:eastAsia="zh-CN"/>
        </w:rPr>
        <w:t>20</w:t>
      </w:r>
      <w:r>
        <w:rPr>
          <w:rFonts w:hint="eastAsia" w:ascii="MingLiU" w:hAnsi="MingLiU" w:eastAsia="宋体"/>
          <w:sz w:val="22"/>
          <w:lang w:eastAsia="zh-CN"/>
        </w:rPr>
        <w:t xml:space="preserve">B </w:t>
      </w:r>
      <w:r>
        <w:rPr>
          <w:rFonts w:ascii="MingLiU" w:hAnsi="MingLiU" w:eastAsia="MingLiU"/>
          <w:sz w:val="22"/>
        </w:rPr>
        <w:t xml:space="preserve"> 是一种聚硅氧烷，包含了硅键合的氢原子。</w:t>
      </w:r>
    </w:p>
    <w:p>
      <w:pPr>
        <w:spacing w:line="97" w:lineRule="exact"/>
        <w:rPr>
          <w:rFonts w:ascii="Times New Roman" w:hAnsi="Times New Roman" w:eastAsia="Times New Roman"/>
          <w:sz w:val="24"/>
        </w:rPr>
      </w:pPr>
    </w:p>
    <w:p>
      <w:pPr>
        <w:spacing w:line="263" w:lineRule="exact"/>
        <w:ind w:left="220"/>
        <w:rPr>
          <w:rFonts w:ascii="MingLiU" w:hAnsi="MingLiU" w:eastAsia="MingLiU"/>
          <w:b/>
          <w:sz w:val="22"/>
        </w:rPr>
      </w:pPr>
      <w:r>
        <w:rPr>
          <w:rFonts w:ascii="MingLiU" w:hAnsi="MingLiU" w:eastAsia="MingLiU"/>
          <w:b/>
          <w:sz w:val="22"/>
        </w:rPr>
        <w:t>2.主要性能</w:t>
      </w:r>
    </w:p>
    <w:p>
      <w:pPr>
        <w:spacing w:line="142" w:lineRule="exact"/>
        <w:rPr>
          <w:rFonts w:ascii="Times New Roman" w:hAnsi="Times New Roman" w:eastAsia="Times New Roman"/>
          <w:sz w:val="24"/>
        </w:rPr>
      </w:pPr>
    </w:p>
    <w:p>
      <w:pPr>
        <w:spacing w:line="289" w:lineRule="exact"/>
        <w:ind w:left="437" w:leftChars="208" w:right="60" w:firstLine="0" w:firstLineChars="0"/>
        <w:rPr>
          <w:rFonts w:ascii="MingLiU" w:hAnsi="MingLiU" w:eastAsia="MingLiU"/>
          <w:sz w:val="22"/>
        </w:rPr>
      </w:pPr>
      <w:r>
        <w:rPr>
          <w:rFonts w:ascii="MingLiU" w:hAnsi="MingLiU" w:eastAsia="MingLiU"/>
          <w:sz w:val="22"/>
        </w:rPr>
        <w:t>甲基氢硅氧烷液体容易与硅醇组和羟基进行缩合反应，还与不饱和有机化合物进行加成反应的高效的催化剂。</w:t>
      </w:r>
    </w:p>
    <w:p>
      <w:pPr>
        <w:spacing w:line="97" w:lineRule="exact"/>
        <w:rPr>
          <w:rFonts w:ascii="Times New Roman" w:hAnsi="Times New Roman" w:eastAsia="Times New Roman"/>
          <w:sz w:val="24"/>
        </w:rPr>
      </w:pPr>
    </w:p>
    <w:p>
      <w:pPr>
        <w:spacing w:line="263" w:lineRule="exact"/>
        <w:ind w:left="220"/>
        <w:rPr>
          <w:rFonts w:ascii="MingLiU" w:hAnsi="MingLiU" w:eastAsia="MingLiU"/>
          <w:b/>
          <w:sz w:val="22"/>
        </w:rPr>
      </w:pPr>
      <w:r>
        <w:rPr>
          <w:rFonts w:ascii="MingLiU" w:hAnsi="MingLiU" w:eastAsia="MingLiU"/>
          <w:b/>
          <w:sz w:val="22"/>
        </w:rPr>
        <w:t>3.应用说明</w:t>
      </w:r>
    </w:p>
    <w:p>
      <w:pPr>
        <w:spacing w:line="97" w:lineRule="exact"/>
        <w:rPr>
          <w:rFonts w:ascii="Times New Roman" w:hAnsi="Times New Roman" w:eastAsia="Times New Roman"/>
          <w:sz w:val="24"/>
        </w:rPr>
      </w:pPr>
    </w:p>
    <w:p>
      <w:pPr>
        <w:spacing w:line="263" w:lineRule="exact"/>
        <w:ind w:left="340"/>
        <w:rPr>
          <w:rFonts w:ascii="MingLiU" w:hAnsi="MingLiU" w:eastAsia="MingLiU"/>
          <w:sz w:val="22"/>
        </w:rPr>
      </w:pPr>
      <w:r>
        <w:rPr>
          <w:rFonts w:ascii="MingLiU" w:hAnsi="MingLiU" w:eastAsia="MingLiU"/>
          <w:sz w:val="22"/>
        </w:rPr>
        <w:t>架桥剂</w:t>
      </w:r>
    </w:p>
    <w:p>
      <w:pPr>
        <w:spacing w:line="77" w:lineRule="exact"/>
        <w:rPr>
          <w:rFonts w:ascii="Times New Roman" w:hAnsi="Times New Roman" w:eastAsia="Times New Roman"/>
          <w:sz w:val="24"/>
        </w:rPr>
      </w:pPr>
    </w:p>
    <w:p>
      <w:pPr>
        <w:spacing w:line="288" w:lineRule="exact"/>
        <w:ind w:left="220"/>
        <w:rPr>
          <w:rFonts w:ascii="MingLiU" w:hAnsi="MingLiU" w:eastAsia="MingLiU"/>
          <w:b/>
          <w:sz w:val="24"/>
        </w:rPr>
      </w:pPr>
      <w:r>
        <w:rPr>
          <w:rFonts w:ascii="MingLiU" w:hAnsi="MingLiU" w:eastAsia="MingLiU"/>
          <w:b/>
          <w:sz w:val="24"/>
        </w:rPr>
        <w:t>4.性能参数</w:t>
      </w:r>
    </w:p>
    <w:p>
      <w:pPr>
        <w:spacing w:line="7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8960" w:type="dxa"/>
        <w:tblInd w:w="4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3160"/>
        <w:gridCol w:w="3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特点</w:t>
            </w:r>
          </w:p>
        </w:tc>
        <w:tc>
          <w:tcPr>
            <w:tcW w:w="3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ascii="仿宋" w:hAnsi="仿宋" w:eastAsia="仿宋"/>
                <w:w w:val="99"/>
                <w:sz w:val="24"/>
              </w:rPr>
              <w:t>单位</w:t>
            </w:r>
          </w:p>
        </w:tc>
        <w:tc>
          <w:tcPr>
            <w:tcW w:w="3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ascii="仿宋" w:hAnsi="仿宋" w:eastAsia="仿宋"/>
                <w:w w:val="99"/>
                <w:sz w:val="24"/>
              </w:rPr>
              <w:t>SC</w:t>
            </w:r>
            <w:r>
              <w:rPr>
                <w:rFonts w:hint="eastAsia" w:ascii="仿宋" w:hAnsi="仿宋" w:eastAsia="仿宋"/>
                <w:w w:val="99"/>
                <w:sz w:val="24"/>
                <w:lang w:eastAsia="zh-CN"/>
              </w:rPr>
              <w:t>00</w:t>
            </w: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w w:val="99"/>
                <w:sz w:val="24"/>
                <w:lang w:eastAsia="zh-CN"/>
              </w:rPr>
              <w:t xml:space="preserve">B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外观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right="14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-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ascii="仿宋" w:hAnsi="仿宋" w:eastAsia="仿宋"/>
                <w:w w:val="99"/>
                <w:sz w:val="24"/>
              </w:rPr>
              <w:t>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2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5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挥发性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ascii="仿宋" w:hAnsi="仿宋" w:eastAsia="仿宋"/>
                <w:w w:val="99"/>
                <w:sz w:val="24"/>
              </w:rPr>
              <w:t>wt%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w w:val="99"/>
                <w:sz w:val="24"/>
              </w:rPr>
              <w:t>≤</w:t>
            </w: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2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粘度(25℃)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w w:val="99"/>
                <w:sz w:val="24"/>
              </w:rPr>
              <w:t>c</w:t>
            </w: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ps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100-150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H-contnent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wt%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2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7" w:lineRule="exact"/>
        <w:rPr>
          <w:rFonts w:ascii="Times New Roman" w:hAnsi="Times New Roman" w:eastAsia="Times New Roman"/>
          <w:sz w:val="24"/>
        </w:rPr>
      </w:pPr>
    </w:p>
    <w:p>
      <w:pPr>
        <w:spacing w:line="288" w:lineRule="exact"/>
        <w:ind w:left="220"/>
        <w:rPr>
          <w:rFonts w:ascii="MingLiU" w:hAnsi="MingLiU" w:eastAsia="MingLiU"/>
          <w:sz w:val="22"/>
        </w:rPr>
      </w:pPr>
      <w:r>
        <w:rPr>
          <w:rFonts w:ascii="MingLiU" w:hAnsi="MingLiU" w:eastAsia="MingLiU"/>
          <w:b/>
          <w:sz w:val="24"/>
        </w:rPr>
        <w:t>备注 1）</w:t>
      </w:r>
      <w:r>
        <w:rPr>
          <w:rFonts w:ascii="MingLiU" w:hAnsi="MingLiU" w:eastAsia="MingLiU"/>
          <w:sz w:val="24"/>
        </w:rPr>
        <w:t>：</w:t>
      </w:r>
      <w:r>
        <w:rPr>
          <w:rFonts w:ascii="MingLiU" w:hAnsi="MingLiU" w:eastAsia="MingLiU"/>
          <w:b/>
          <w:sz w:val="24"/>
        </w:rPr>
        <w:t xml:space="preserve"> </w:t>
      </w:r>
      <w:r>
        <w:rPr>
          <w:rFonts w:ascii="MingLiU" w:hAnsi="MingLiU" w:eastAsia="MingLiU"/>
          <w:sz w:val="22"/>
        </w:rPr>
        <w:t>以上为典型数据，而非规格数据。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52" w:lineRule="exact"/>
        <w:rPr>
          <w:rFonts w:ascii="Times New Roman" w:hAnsi="Times New Roman" w:eastAsia="Times New Roman"/>
          <w:sz w:val="24"/>
        </w:rPr>
      </w:pPr>
    </w:p>
    <w:p>
      <w:pPr>
        <w:spacing w:line="264" w:lineRule="exact"/>
        <w:ind w:firstLine="220" w:firstLineChars="100"/>
        <w:rPr>
          <w:rFonts w:ascii="MingLiU" w:hAnsi="MingLiU" w:eastAsia="MingLiU"/>
          <w:b/>
          <w:sz w:val="22"/>
        </w:rPr>
      </w:pPr>
      <w:r>
        <w:rPr>
          <w:rFonts w:ascii="MingLiU" w:hAnsi="MingLiU" w:eastAsia="MingLiU"/>
          <w:b/>
          <w:sz w:val="22"/>
        </w:rPr>
        <w:t>5.操作预防措施</w:t>
      </w:r>
    </w:p>
    <w:p>
      <w:pPr>
        <w:spacing w:line="126" w:lineRule="exact"/>
        <w:rPr>
          <w:rFonts w:ascii="Times New Roman" w:hAnsi="Times New Roman" w:eastAsia="Times New Roman"/>
          <w:sz w:val="24"/>
        </w:rPr>
      </w:pPr>
    </w:p>
    <w:p>
      <w:pPr>
        <w:spacing w:line="289" w:lineRule="exact"/>
        <w:ind w:left="437" w:leftChars="208" w:right="60" w:firstLine="0" w:firstLineChars="0"/>
        <w:rPr>
          <w:rFonts w:ascii="MingLiU" w:hAnsi="MingLiU" w:eastAsia="MingLiU"/>
          <w:sz w:val="22"/>
        </w:rPr>
      </w:pPr>
      <w:r>
        <w:rPr>
          <w:rFonts w:ascii="MingLiU" w:hAnsi="MingLiU" w:eastAsia="MingLiU"/>
          <w:sz w:val="22"/>
        </w:rPr>
        <w:t>SC</w:t>
      </w:r>
      <w:r>
        <w:rPr>
          <w:rFonts w:hint="eastAsia" w:ascii="MingLiU" w:hAnsi="MingLiU" w:eastAsia="MingLiU"/>
          <w:sz w:val="22"/>
          <w:lang w:eastAsia="zh-CN"/>
        </w:rPr>
        <w:t>00</w:t>
      </w:r>
      <w:r>
        <w:rPr>
          <w:rFonts w:hint="eastAsia" w:ascii="MingLiU" w:hAnsi="MingLiU" w:eastAsia="MingLiU"/>
          <w:sz w:val="22"/>
          <w:lang w:val="en-US" w:eastAsia="zh-CN"/>
        </w:rPr>
        <w:t>20</w:t>
      </w:r>
      <w:r>
        <w:rPr>
          <w:rFonts w:hint="eastAsia" w:ascii="MingLiU" w:hAnsi="MingLiU" w:eastAsia="MingLiU"/>
          <w:sz w:val="22"/>
          <w:lang w:eastAsia="zh-CN"/>
        </w:rPr>
        <w:t xml:space="preserve">B </w:t>
      </w:r>
      <w:r>
        <w:rPr>
          <w:rFonts w:ascii="MingLiU" w:hAnsi="MingLiU" w:eastAsia="MingLiU"/>
          <w:sz w:val="22"/>
        </w:rPr>
        <w:t xml:space="preserve"> 在加热和硫化的情况在可能跟“HO-R”反应产生氢气，R=是的烷基，芳基，氢，金属。催化剂主要成分是，酸类，重金属盐，急性离子盐，某些过渡金属盐。当使用时避免加热，火花和明火。为了安全使用这个产品请参照本产品的 MSDS.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53" w:lineRule="exact"/>
        <w:rPr>
          <w:rFonts w:ascii="Times New Roman" w:hAnsi="Times New Roman" w:eastAsia="Times New Roman"/>
          <w:sz w:val="24"/>
        </w:rPr>
      </w:pPr>
    </w:p>
    <w:p>
      <w:pPr>
        <w:spacing w:line="264" w:lineRule="exact"/>
        <w:ind w:left="220"/>
        <w:rPr>
          <w:rFonts w:ascii="MingLiU" w:hAnsi="MingLiU" w:eastAsia="MingLiU"/>
          <w:b/>
          <w:sz w:val="22"/>
        </w:rPr>
      </w:pPr>
      <w:r>
        <w:rPr>
          <w:rFonts w:ascii="MingLiU" w:hAnsi="MingLiU" w:eastAsia="MingLiU"/>
          <w:b/>
          <w:sz w:val="22"/>
        </w:rPr>
        <w:t>6 安全和存储</w:t>
      </w:r>
    </w:p>
    <w:p>
      <w:pPr>
        <w:spacing w:line="96" w:lineRule="exact"/>
        <w:rPr>
          <w:rFonts w:ascii="Times New Roman" w:hAnsi="Times New Roman" w:eastAsia="Times New Roman"/>
          <w:sz w:val="24"/>
        </w:rPr>
      </w:pPr>
    </w:p>
    <w:p>
      <w:pPr>
        <w:spacing w:line="289" w:lineRule="exact"/>
        <w:ind w:left="437" w:leftChars="208" w:right="60" w:firstLine="0" w:firstLineChars="0"/>
        <w:rPr>
          <w:rFonts w:ascii="MingLiU" w:hAnsi="MingLiU" w:eastAsia="MingLiU"/>
          <w:sz w:val="22"/>
        </w:rPr>
      </w:pPr>
      <w:r>
        <w:rPr>
          <w:rFonts w:ascii="MingLiU" w:hAnsi="MingLiU" w:eastAsia="MingLiU"/>
          <w:sz w:val="22"/>
        </w:rPr>
        <w:t>存储在通风的容器以及 40℃下，这个产品的有效使用期是 12 个月。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57" w:lineRule="exact"/>
        <w:rPr>
          <w:rFonts w:ascii="Times New Roman" w:hAnsi="Times New Roman" w:eastAsia="Times New Roman"/>
          <w:sz w:val="24"/>
        </w:rPr>
      </w:pPr>
    </w:p>
    <w:p>
      <w:pPr>
        <w:spacing w:line="263" w:lineRule="exact"/>
        <w:ind w:firstLine="221" w:firstLineChars="100"/>
        <w:rPr>
          <w:rFonts w:ascii="MingLiU" w:hAnsi="MingLiU" w:eastAsia="MingLiU"/>
          <w:b/>
          <w:sz w:val="22"/>
        </w:rPr>
      </w:pPr>
      <w:bookmarkStart w:id="0" w:name="page2"/>
      <w:bookmarkEnd w:id="0"/>
      <w:r>
        <w:rPr>
          <w:rFonts w:hint="eastAsia" w:ascii="MingLiU" w:hAnsi="MingLiU" w:eastAsia="宋体"/>
          <w:b/>
          <w:sz w:val="22"/>
          <w:lang w:val="en-US" w:eastAsia="zh-CN"/>
        </w:rPr>
        <w:t>7</w:t>
      </w:r>
      <w:r>
        <w:rPr>
          <w:rFonts w:ascii="MingLiU" w:hAnsi="MingLiU" w:eastAsia="MingLiU"/>
          <w:b/>
          <w:sz w:val="22"/>
        </w:rPr>
        <w:t>.包装</w:t>
      </w:r>
    </w:p>
    <w:p>
      <w:pPr>
        <w:spacing w:line="97" w:lineRule="exact"/>
        <w:rPr>
          <w:rFonts w:ascii="Times New Roman" w:hAnsi="Times New Roman" w:eastAsia="Times New Roman"/>
        </w:rPr>
      </w:pPr>
    </w:p>
    <w:p>
      <w:pPr>
        <w:tabs>
          <w:tab w:val="left" w:pos="1180"/>
        </w:tabs>
        <w:spacing w:line="263" w:lineRule="exact"/>
        <w:ind w:firstLine="220" w:firstLineChars="100"/>
        <w:rPr>
          <w:rFonts w:ascii="MingLiU" w:hAnsi="MingLiU" w:eastAsia="MingLiU"/>
          <w:sz w:val="22"/>
        </w:rPr>
      </w:pPr>
      <w:r>
        <w:rPr>
          <w:rFonts w:ascii="MingLiU" w:hAnsi="MingLiU" w:eastAsia="MingLiU"/>
          <w:sz w:val="22"/>
        </w:rPr>
        <w:t>SC</w:t>
      </w:r>
      <w:r>
        <w:rPr>
          <w:rFonts w:hint="eastAsia" w:ascii="MingLiU" w:hAnsi="MingLiU" w:eastAsia="宋体"/>
          <w:sz w:val="22"/>
          <w:lang w:eastAsia="zh-CN"/>
        </w:rPr>
        <w:t>00</w:t>
      </w:r>
      <w:r>
        <w:rPr>
          <w:rFonts w:hint="eastAsia" w:ascii="MingLiU" w:hAnsi="MingLiU" w:eastAsia="宋体"/>
          <w:sz w:val="22"/>
          <w:lang w:val="en-US" w:eastAsia="zh-CN"/>
        </w:rPr>
        <w:t>20</w:t>
      </w:r>
      <w:r>
        <w:rPr>
          <w:rFonts w:hint="eastAsia" w:ascii="MingLiU" w:hAnsi="MingLiU" w:eastAsia="宋体"/>
          <w:sz w:val="22"/>
          <w:lang w:eastAsia="zh-CN"/>
        </w:rPr>
        <w:t xml:space="preserve">B </w:t>
      </w:r>
      <w:r>
        <w:rPr>
          <w:rFonts w:ascii="Times New Roman" w:hAnsi="Times New Roman" w:eastAsia="Times New Roman"/>
        </w:rPr>
        <w:tab/>
      </w:r>
      <w:r>
        <w:rPr>
          <w:rFonts w:ascii="MingLiU" w:hAnsi="MingLiU" w:eastAsia="MingLiU"/>
          <w:sz w:val="22"/>
        </w:rPr>
        <w:t>1KG/瓶</w:t>
      </w:r>
    </w:p>
    <w:p>
      <w:bookmarkStart w:id="1" w:name="_GoBack"/>
      <w:bookmarkEnd w:id="1"/>
      <w:r>
        <w:rPr>
          <w:rStyle w:val="2"/>
          <w:rFonts w:hint="eastAsia" w:ascii="宋体" w:hAnsi="宋体" w:eastAsia="宋体" w:cs="宋体"/>
          <w:color w:val="000000"/>
          <w:spacing w:val="1"/>
          <w:sz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288925</wp:posOffset>
            </wp:positionH>
            <wp:positionV relativeFrom="page">
              <wp:posOffset>83820</wp:posOffset>
            </wp:positionV>
            <wp:extent cx="6807200" cy="1632585"/>
            <wp:effectExtent l="0" t="0" r="12700" b="5715"/>
            <wp:wrapSquare wrapText="bothSides"/>
            <wp:docPr id="1" name="图片 8" descr="fe2b9e081c8a5ac86e1981263711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fe2b9e081c8a5ac86e1981263711c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3E26"/>
    <w:rsid w:val="0D2A3E26"/>
    <w:rsid w:val="2CDB7E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2019-04-22T08:41:00Z</dcterms:created>
  <dc:creator>弟仔</dc:creator>
  <cp:lastModifiedBy>弟仔</cp:lastModifiedBy>
  <dcterms:modified xsi:type="dcterms:W3CDTF">2019-04-22T08:54:14Z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