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0" w:lineRule="auto"/>
        <w:jc w:val="center"/>
        <w:rPr>
          <w:rFonts w:hint="default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lang w:val="en-US" w:eastAsia="zh-CN"/>
        </w:rPr>
        <w:t>含氢硅油LH-075P</w:t>
      </w:r>
    </w:p>
    <w:p>
      <w:pPr>
        <w:spacing w:line="209" w:lineRule="exact"/>
        <w:rPr>
          <w:rFonts w:ascii="Times New Roman" w:hAnsi="Times New Roman" w:eastAsia="Times New Roman"/>
          <w:sz w:val="24"/>
        </w:rPr>
      </w:pP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2"/>
        </w:rPr>
        <w:t>1.</w:t>
      </w:r>
      <w:r>
        <w:rPr>
          <w:rFonts w:ascii="MingLiU" w:hAnsi="MingLiU" w:eastAsia="MingLiU"/>
          <w:b/>
          <w:sz w:val="24"/>
        </w:rPr>
        <w:t>产品描述</w:t>
      </w:r>
    </w:p>
    <w:p>
      <w:pPr>
        <w:spacing w:line="92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低含氢硅油是由高含氢硅油与二甲基环硅氧烷平衡制得的产品。它含有活性很高的硅氢键，是合成改性硅油，如聚醚改性硅油、烷基改性硅油的基本原料，也是加成型硅橡胶的交联剂，还可用于材料的疏水处理。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2.主要性能</w:t>
      </w:r>
    </w:p>
    <w:p>
      <w:pPr>
        <w:spacing w:line="142" w:lineRule="exact"/>
        <w:rPr>
          <w:rFonts w:ascii="Times New Roman" w:hAnsi="Times New Roman" w:eastAsia="Times New Roman"/>
          <w:color w:val="0000FF"/>
          <w:sz w:val="24"/>
        </w:rPr>
      </w:pPr>
    </w:p>
    <w:p>
      <w:pPr>
        <w:spacing w:line="289" w:lineRule="exact"/>
        <w:ind w:left="437" w:leftChars="208" w:right="60" w:firstLine="0" w:firstLineChars="0"/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  <w:t>甲基氢硅氧烷液体容易与硅醇组和羟基进行缩合反应，还与不饱和有机化合物进行加成反应的高效的催化剂。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3.应用说明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340"/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  <w:t>架桥剂</w:t>
      </w: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4"/>
        </w:rPr>
        <w:t>4.性能参数</w:t>
      </w:r>
    </w:p>
    <w:p>
      <w:pPr>
        <w:spacing w:line="7" w:lineRule="exact"/>
        <w:rPr>
          <w:rFonts w:ascii="Times New Roman" w:hAnsi="Times New Roman" w:eastAsia="Times New Roman"/>
          <w:sz w:val="24"/>
        </w:rPr>
      </w:pPr>
    </w:p>
    <w:tbl>
      <w:tblPr>
        <w:tblStyle w:val="2"/>
        <w:tblW w:w="8960" w:type="dxa"/>
        <w:tblInd w:w="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316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特点</w:t>
            </w:r>
          </w:p>
        </w:tc>
        <w:tc>
          <w:tcPr>
            <w:tcW w:w="3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单位</w:t>
            </w:r>
          </w:p>
        </w:tc>
        <w:tc>
          <w:tcPr>
            <w:tcW w:w="3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LH-075P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外观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14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-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无色透明油状液体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挥发性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wt%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w w:val="99"/>
                <w:sz w:val="24"/>
              </w:rPr>
              <w:t>≤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粘度(25℃)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c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ps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Arial" w:hAnsi="Arial" w:eastAsia="仿宋" w:cs="Arial"/>
                <w:w w:val="99"/>
                <w:sz w:val="24"/>
              </w:rPr>
              <w:t>5</w:t>
            </w:r>
            <w:r>
              <w:rPr>
                <w:rFonts w:hint="default" w:ascii="Arial" w:hAnsi="Arial" w:eastAsia="仿宋" w:cs="Arial"/>
                <w:w w:val="99"/>
                <w:sz w:val="24"/>
              </w:rPr>
              <w:t>0-1</w:t>
            </w:r>
            <w:r>
              <w:rPr>
                <w:rFonts w:hint="eastAsia" w:ascii="Arial" w:hAnsi="Arial" w:eastAsia="仿宋" w:cs="Arial"/>
                <w:w w:val="99"/>
                <w:sz w:val="24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w w:val="99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H-contnent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wt%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b/>
          <w:sz w:val="24"/>
        </w:rPr>
        <w:t>备注 1）</w:t>
      </w:r>
      <w:r>
        <w:rPr>
          <w:rFonts w:ascii="MingLiU" w:hAnsi="MingLiU" w:eastAsia="MingLiU"/>
          <w:sz w:val="24"/>
        </w:rPr>
        <w:t>：</w:t>
      </w:r>
      <w:r>
        <w:rPr>
          <w:rFonts w:ascii="MingLiU" w:hAnsi="MingLiU" w:eastAsia="MingLiU"/>
          <w:b/>
          <w:sz w:val="24"/>
        </w:rPr>
        <w:t xml:space="preserve"> </w:t>
      </w:r>
      <w:r>
        <w:rPr>
          <w:rFonts w:ascii="MingLiU" w:hAnsi="MingLiU" w:eastAsia="MingLiU"/>
          <w:sz w:val="22"/>
        </w:rPr>
        <w:t>以上为典型数据，而非规格数据。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2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firstLine="220" w:firstLineChars="10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5.操作预防措施</w:t>
      </w:r>
    </w:p>
    <w:p>
      <w:pPr>
        <w:spacing w:line="126" w:lineRule="exact"/>
        <w:rPr>
          <w:rFonts w:ascii="Times New Roman" w:hAnsi="Times New Roman" w:eastAsia="Times New Roman"/>
          <w:sz w:val="24"/>
        </w:rPr>
      </w:pPr>
    </w:p>
    <w:p>
      <w:pPr>
        <w:spacing w:line="289" w:lineRule="exact"/>
        <w:ind w:left="437" w:leftChars="208" w:right="60" w:firstLine="0" w:firstLineChars="0"/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MingLiU" w:hAnsi="MingLiU" w:eastAsia="MingLiU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LH-075P</w:t>
      </w:r>
      <w:r>
        <w:rPr>
          <w:rFonts w:hint="eastAsia" w:ascii="MingLiU" w:hAnsi="MingLiU" w:eastAsia="MingLiU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在加热和硫化的情况在可能跟“HO-R”反应产生氢气，R=是的烷基，芳基，氢，金属。催化剂主要成分是，酸类，重金属盐，急性离子盐，某些过渡金属盐。当使用时避免加热，火花和明火。为了安全使用这个产品请参照本产品的 MSDS.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3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6 安全和存储</w:t>
      </w:r>
    </w:p>
    <w:p>
      <w:pPr>
        <w:spacing w:line="96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低含氢硅油产品为无色粘稠透明液体，无腐蚀性，易燃，不溶于水，易溶于有机溶剂。贮存场所温度宜在20℃~40℃，运输时应按非危险品运输。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firstLine="221" w:firstLineChars="100"/>
        <w:rPr>
          <w:rFonts w:ascii="MingLiU" w:hAnsi="MingLiU" w:eastAsia="MingLiU"/>
          <w:b/>
          <w:sz w:val="22"/>
        </w:rPr>
      </w:pPr>
      <w:bookmarkStart w:id="0" w:name="page2"/>
      <w:bookmarkEnd w:id="0"/>
      <w:r>
        <w:rPr>
          <w:rFonts w:hint="eastAsia" w:ascii="MingLiU" w:hAnsi="MingLiU" w:eastAsia="宋体"/>
          <w:b/>
          <w:sz w:val="22"/>
          <w:lang w:val="en-US" w:eastAsia="zh-CN"/>
        </w:rPr>
        <w:t>7</w:t>
      </w:r>
      <w:r>
        <w:rPr>
          <w:rFonts w:ascii="MingLiU" w:hAnsi="MingLiU" w:eastAsia="MingLiU"/>
          <w:b/>
          <w:sz w:val="22"/>
        </w:rPr>
        <w:t>.包装</w:t>
      </w:r>
    </w:p>
    <w:p>
      <w:pPr>
        <w:spacing w:line="97" w:lineRule="exact"/>
        <w:rPr>
          <w:rFonts w:ascii="Times New Roman" w:hAnsi="Times New Roman" w:eastAsia="Times New Roman"/>
        </w:rPr>
      </w:pPr>
    </w:p>
    <w:p>
      <w:pPr>
        <w:numPr>
          <w:ilvl w:val="0"/>
          <w:numId w:val="1"/>
        </w:numPr>
        <w:tabs>
          <w:tab w:val="left" w:pos="7428"/>
        </w:tabs>
        <w:ind w:left="105" w:leftChars="0" w:firstLine="0" w:firstLineChars="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本产品采用铁桶包装，包装桶须清洁、完好，装桶后应严密不泄露。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288925</wp:posOffset>
            </wp:positionH>
            <wp:positionV relativeFrom="page">
              <wp:posOffset>83820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eastAsia="zh-CN"/>
        </w:rPr>
        <w:tab/>
      </w:r>
    </w:p>
    <w:p>
      <w:pPr>
        <w:numPr>
          <w:ilvl w:val="0"/>
          <w:numId w:val="1"/>
        </w:numPr>
        <w:tabs>
          <w:tab w:val="left" w:pos="7428"/>
        </w:tabs>
        <w:ind w:left="105" w:leftChars="0" w:firstLine="0" w:firstLineChars="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200KG/桶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555F"/>
    <w:multiLevelType w:val="singleLevel"/>
    <w:tmpl w:val="73FF555F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E26"/>
    <w:rsid w:val="03441FDE"/>
    <w:rsid w:val="0A720495"/>
    <w:rsid w:val="0D2A3E26"/>
    <w:rsid w:val="115E1ADC"/>
    <w:rsid w:val="14B30E25"/>
    <w:rsid w:val="2CDB7EE0"/>
    <w:rsid w:val="448C466B"/>
    <w:rsid w:val="4B8B3CE2"/>
    <w:rsid w:val="4BA70941"/>
    <w:rsid w:val="559A6184"/>
    <w:rsid w:val="6D53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434</Words>
  <Characters>501</Characters>
  <Lines>0</Lines>
  <Paragraphs>0</Paragraphs>
  <TotalTime>0</TotalTime>
  <ScaleCrop>false</ScaleCrop>
  <LinksUpToDate>false</LinksUpToDate>
  <CharactersWithSpaces>510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2019-04-22T08:41:00Z</dcterms:created>
  <dc:creator>弟仔</dc:creator>
  <cp:lastModifiedBy>康達科技集團-力達創新馮順德</cp:lastModifiedBy>
  <dcterms:modified xsi:type="dcterms:W3CDTF">2020-06-24T09:14:26Z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