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FSFNVW+¿¬Ìå" w:hAnsi="FSFNVW+¿¬Ìå" w:eastAsia="Calibri" w:cs="FSFNVW+¿¬Ìå"/>
          <w:b/>
          <w:bCs/>
          <w:color w:val="000000"/>
          <w:sz w:val="36"/>
          <w:szCs w:val="22"/>
          <w:lang w:val="en-US" w:eastAsia="en-US" w:bidi="ar-SA"/>
        </w:rPr>
      </w:pPr>
      <w:r>
        <w:rPr>
          <w:rFonts w:hint="eastAsia" w:hAnsi="Calibri" w:eastAsia="宋体"/>
          <w:b/>
          <w:bCs/>
          <w:color w:val="000000"/>
          <w:sz w:val="36"/>
          <w:szCs w:val="22"/>
          <w:lang w:val="en-US" w:eastAsia="zh-CN" w:bidi="ar-SA"/>
        </w:rPr>
        <w:t>MSK</w:t>
      </w:r>
      <w:r>
        <w:rPr>
          <w:rFonts w:hAnsi="Calibri" w:eastAsia="Calibri"/>
          <w:b/>
          <w:bCs/>
          <w:color w:val="000000"/>
          <w:sz w:val="36"/>
          <w:szCs w:val="22"/>
          <w:lang w:val="en-US" w:eastAsia="en-US" w:bidi="ar-SA"/>
        </w:rPr>
        <w:t>-</w:t>
      </w:r>
      <w:r>
        <w:rPr>
          <w:rFonts w:hint="eastAsia" w:hAnsi="Calibri" w:eastAsia="宋体"/>
          <w:b/>
          <w:bCs/>
          <w:color w:val="000000"/>
          <w:sz w:val="36"/>
          <w:szCs w:val="22"/>
          <w:lang w:val="en-US" w:eastAsia="zh-CN" w:bidi="ar-SA"/>
        </w:rPr>
        <w:t>MR</w:t>
      </w:r>
      <w:r>
        <w:rPr>
          <w:rFonts w:hAnsi="Calibri" w:eastAsia="Calibri"/>
          <w:b/>
          <w:bCs/>
          <w:color w:val="000000"/>
          <w:sz w:val="36"/>
          <w:szCs w:val="22"/>
          <w:lang w:val="en-US" w:eastAsia="en-US" w:bidi="ar-SA"/>
        </w:rPr>
        <w:t>633</w:t>
      </w:r>
      <w:r>
        <w:rPr>
          <w:rFonts w:ascii="FSFNVW+¿¬Ìå" w:hAnsi="FSFNVW+¿¬Ìå" w:eastAsia="Calibri" w:cs="FSFNVW+¿¬Ìå"/>
          <w:b/>
          <w:bCs/>
          <w:color w:val="000000"/>
          <w:sz w:val="36"/>
          <w:szCs w:val="22"/>
          <w:lang w:val="en-US" w:eastAsia="en-US" w:bidi="ar-SA"/>
        </w:rPr>
        <w:t>有机硅粘接密封胶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jc w:val="both"/>
        <w:rPr>
          <w:rFonts w:hint="eastAsia" w:ascii="FSFNVW+¿¬Ìå" w:hAnsi="FSFNVW+¿¬Ìå" w:eastAsia="宋体" w:cs="FSFNVW+¿¬Ìå"/>
          <w:b/>
          <w:bCs/>
          <w:color w:val="000000"/>
          <w:sz w:val="28"/>
          <w:szCs w:val="20"/>
          <w:lang w:val="en-US" w:eastAsia="zh-CN" w:bidi="ar-SA"/>
        </w:rPr>
      </w:pPr>
      <w:r>
        <w:rPr>
          <w:rFonts w:hint="eastAsia" w:ascii="FSFNVW+¿¬Ìå" w:hAnsi="FSFNVW+¿¬Ìå" w:eastAsia="宋体" w:cs="FSFNVW+¿¬Ìå"/>
          <w:b/>
          <w:bCs/>
          <w:color w:val="000000"/>
          <w:sz w:val="28"/>
          <w:szCs w:val="20"/>
          <w:lang w:val="en-US" w:eastAsia="zh-CN" w:bidi="ar-SA"/>
        </w:rPr>
        <w:t>产品简介</w:t>
      </w:r>
    </w:p>
    <w:p>
      <w:pPr>
        <w:jc w:val="both"/>
        <w:rPr>
          <w:rFonts w:hint="eastAsia" w:ascii="FSFNVW+¿¬Ìå" w:hAnsi="FSFNVW+¿¬Ìå" w:eastAsia="宋体" w:cs="FSFNVW+¿¬Ìå"/>
          <w:b w:val="0"/>
          <w:bCs w:val="0"/>
          <w:color w:val="000000"/>
          <w:sz w:val="22"/>
          <w:szCs w:val="16"/>
          <w:lang w:val="en-US" w:eastAsia="zh-CN" w:bidi="ar-SA"/>
        </w:rPr>
      </w:pPr>
      <w:r>
        <w:rPr>
          <w:rFonts w:hint="eastAsia" w:ascii="FSFNVW+¿¬Ìå" w:hAnsi="FSFNVW+¿¬Ìå" w:eastAsia="宋体" w:cs="FSFNVW+¿¬Ìå"/>
          <w:b/>
          <w:bCs/>
          <w:color w:val="000000"/>
          <w:sz w:val="22"/>
          <w:szCs w:val="16"/>
          <w:lang w:val="en-US" w:eastAsia="zh-CN" w:bidi="ar-SA"/>
        </w:rPr>
        <w:t>MR633</w:t>
      </w:r>
      <w:r>
        <w:rPr>
          <w:rFonts w:hint="eastAsia" w:ascii="FSFNVW+¿¬Ìå" w:hAnsi="FSFNVW+¿¬Ìå" w:eastAsia="宋体" w:cs="FSFNVW+¿¬Ìå"/>
          <w:b w:val="0"/>
          <w:bCs w:val="0"/>
          <w:color w:val="000000"/>
          <w:sz w:val="22"/>
          <w:szCs w:val="16"/>
          <w:lang w:val="en-US" w:eastAsia="zh-CN" w:bidi="ar-SA"/>
        </w:rPr>
        <w:t>是一款单组分脱醋酸型硅酮密封胶，透明，具有良好的流淌性，适用于纺织行业织布的涂覆粘接。固化后拉伸强度大，粘结性好，长期使用不会脱落，不会产生接触缝隙。中性无腐蚀、绝缘性优、防潮、抗震、耐电晕、抗漏电。对织布具有优良的粘接性。固化后具有优异的耐水阻隔性和耐候性,可在-54~150℃长期使用。</w:t>
      </w:r>
    </w:p>
    <w:tbl>
      <w:tblPr>
        <w:tblStyle w:val="6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6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406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20"/>
              </w:tabs>
              <w:ind w:leftChars="0"/>
              <w:jc w:val="both"/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both"/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  <w:t>产品特点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4"/>
                <w:szCs w:val="18"/>
                <w:lang w:val="en-US" w:eastAsia="zh-CN" w:bidi="ar-SA"/>
              </w:rPr>
              <w:t>1</w:t>
            </w: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、快速固化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2、环保配方,无有机锡体系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3、高伸长率,高撕裂强度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4、使用温度-54℃~150℃</w:t>
            </w:r>
          </w:p>
          <w:p>
            <w:pPr>
              <w:numPr>
                <w:ilvl w:val="0"/>
                <w:numId w:val="0"/>
              </w:numPr>
              <w:tabs>
                <w:tab w:val="clear" w:pos="420"/>
              </w:tabs>
              <w:ind w:leftChars="0"/>
              <w:jc w:val="both"/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4"/>
                <w:szCs w:val="18"/>
                <w:lang w:val="en-US" w:eastAsia="zh-CN" w:bidi="ar-SA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both"/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  <w:t>产品应用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en-US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1、</w:t>
            </w: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en-US" w:bidi="ar-SA"/>
              </w:rPr>
              <w:t>粘接固定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en-US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2、</w:t>
            </w: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en-US" w:bidi="ar-SA"/>
              </w:rPr>
              <w:t>纺织行业织布、织带等各种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4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en-US" w:bidi="ar-SA"/>
              </w:rPr>
              <w:t>布料的涂覆粘接</w:t>
            </w:r>
          </w:p>
        </w:tc>
        <w:tc>
          <w:tcPr>
            <w:tcW w:w="6616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center"/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  <w:t>技术参数</w:t>
            </w:r>
          </w:p>
          <w:tbl>
            <w:tblPr>
              <w:tblStyle w:val="6"/>
              <w:tblW w:w="64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2"/>
              <w:gridCol w:w="1874"/>
              <w:gridCol w:w="2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rPr>
                <w:trHeight w:val="299" w:hRule="atLeast"/>
              </w:trPr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性能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  <w:t>MR633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测试</w:t>
                  </w: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  <w:t>方法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6400" w:type="dxa"/>
                  <w:gridSpan w:val="3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FF"/>
                      <w:sz w:val="22"/>
                      <w:szCs w:val="16"/>
                      <w:lang w:val="en-US" w:eastAsia="en-US" w:bidi="ar-SA"/>
                    </w:rPr>
                    <w:t>未固化性</w:t>
                  </w: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FF"/>
                      <w:sz w:val="22"/>
                      <w:szCs w:val="16"/>
                      <w:lang w:val="en-US" w:eastAsia="zh-CN" w:bidi="ar-SA"/>
                    </w:rPr>
                    <w:t>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  <w:t>颜色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  <w:t>透明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  <w:t>目视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  <w:t>外观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  <w:t>触变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  <w:t>目视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6400" w:type="dxa"/>
                  <w:gridSpan w:val="3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FF"/>
                      <w:sz w:val="22"/>
                      <w:szCs w:val="16"/>
                      <w:lang w:val="en-US" w:eastAsia="zh-CN" w:bidi="ar-SA"/>
                    </w:rPr>
                    <w:t>操作性能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表干时间/min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  <w:t>2-6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  <w:t>--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固化时间/h@25℃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  <w:t>24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点胶厚度 4mm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400" w:type="dxa"/>
                  <w:gridSpan w:val="3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FF"/>
                      <w:sz w:val="22"/>
                      <w:szCs w:val="16"/>
                      <w:lang w:val="en-US" w:eastAsia="zh-CN" w:bidi="ar-SA"/>
                    </w:rPr>
                    <w:t>固化后性能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硬度/邵 A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25±5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GB/T 531-1999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比重/g/cm³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1.00±0.05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ASTM D792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拉伸强度/MPa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2.5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GB/T 528-1998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断裂伸长率/%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450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GB/T 528-1998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介电强度/kV/mm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  <w:t>&gt;20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ASTM D149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2392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/>
                      <w:bCs/>
                      <w:color w:val="000000"/>
                      <w:sz w:val="22"/>
                      <w:szCs w:val="16"/>
                      <w:lang w:val="en-US" w:eastAsia="en-US" w:bidi="ar-SA"/>
                    </w:rPr>
                    <w:t>体积电阻率/Ω·cm</w:t>
                  </w:r>
                </w:p>
              </w:tc>
              <w:tc>
                <w:tcPr>
                  <w:tcW w:w="187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&gt;10</w:t>
                  </w: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vertAlign w:val="superscript"/>
                      <w:lang w:val="en-US" w:eastAsia="en-US" w:bidi="ar-SA"/>
                    </w:rPr>
                    <w:t>15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zh-CN" w:bidi="ar-SA"/>
                    </w:rPr>
                  </w:pPr>
                  <w:r>
                    <w:rPr>
                      <w:rFonts w:hint="eastAsia" w:ascii="FSFNVW+¿¬Ìå" w:hAnsi="FSFNVW+¿¬Ìå" w:eastAsia="宋体" w:cs="FSFNVW+¿¬Ìå"/>
                      <w:b w:val="0"/>
                      <w:bCs w:val="0"/>
                      <w:color w:val="000000"/>
                      <w:sz w:val="22"/>
                      <w:szCs w:val="16"/>
                      <w:lang w:val="en-US" w:eastAsia="en-US" w:bidi="ar-SA"/>
                    </w:rPr>
                    <w:t>ASTM D257</w:t>
                  </w:r>
                </w:p>
              </w:tc>
            </w:tr>
          </w:tbl>
          <w:p>
            <w:pPr>
              <w:jc w:val="both"/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tabs>
          <w:tab w:val="left" w:pos="420"/>
        </w:tabs>
        <w:ind w:left="420" w:leftChars="0" w:hanging="420" w:firstLineChars="0"/>
        <w:jc w:val="both"/>
        <w:rPr>
          <w:rFonts w:hint="eastAsia" w:ascii="FSFNVW+¿¬Ìå" w:hAnsi="FSFNVW+¿¬Ìå" w:eastAsia="宋体" w:cs="FSFNVW+¿¬Ìå"/>
          <w:b/>
          <w:bCs/>
          <w:color w:val="000000"/>
          <w:sz w:val="28"/>
          <w:szCs w:val="20"/>
          <w:lang w:val="en-US" w:eastAsia="zh-CN" w:bidi="ar-SA"/>
        </w:rPr>
      </w:pPr>
      <w:r>
        <w:rPr>
          <w:rFonts w:hint="eastAsia" w:ascii="FSFNVW+¿¬Ìå" w:hAnsi="FSFNVW+¿¬Ìå" w:eastAsia="宋体" w:cs="FSFNVW+¿¬Ìå"/>
          <w:b/>
          <w:bCs/>
          <w:color w:val="000000"/>
          <w:sz w:val="28"/>
          <w:szCs w:val="20"/>
          <w:lang w:val="en-US" w:eastAsia="zh-CN" w:bidi="ar-SA"/>
        </w:rPr>
        <w:t>使用方法</w:t>
      </w:r>
    </w:p>
    <w:p>
      <w:pPr>
        <w:jc w:val="both"/>
        <w:rPr>
          <w:rFonts w:hint="eastAsia" w:ascii="FSFNVW+¿¬Ìå" w:hAnsi="FSFNVW+¿¬Ìå" w:eastAsia="宋体" w:cs="FSFNVW+¿¬Ìå"/>
          <w:b w:val="0"/>
          <w:bCs w:val="0"/>
          <w:color w:val="000000"/>
          <w:sz w:val="22"/>
          <w:szCs w:val="16"/>
          <w:lang w:val="en-US" w:eastAsia="zh-CN" w:bidi="ar-SA"/>
        </w:rPr>
      </w:pPr>
      <w:r>
        <w:rPr>
          <w:rFonts w:hint="eastAsia" w:ascii="FSFNVW+¿¬Ìå" w:hAnsi="FSFNVW+¿¬Ìå" w:eastAsia="宋体" w:cs="FSFNVW+¿¬Ìå"/>
          <w:b w:val="0"/>
          <w:bCs w:val="0"/>
          <w:color w:val="000000"/>
          <w:sz w:val="22"/>
          <w:szCs w:val="16"/>
          <w:lang w:val="en-US" w:eastAsia="zh-CN" w:bidi="ar-SA"/>
        </w:rPr>
        <w:t>使用施胶设备涂胶，按规定高度和流速涂覆在织物上，待胶体表面消粘后方可进行包装处理。硅橡胶密封剂吸收空气中的潮气即开始固化。开封后尽可能一次用完，一次未用完，再次使用时，挤掉已固化的部分后，继续使用。</w:t>
      </w:r>
    </w:p>
    <w:p>
      <w:pPr>
        <w:jc w:val="both"/>
        <w:rPr>
          <w:rFonts w:hint="eastAsia" w:ascii="FSFNVW+¿¬Ìå" w:hAnsi="FSFNVW+¿¬Ìå" w:eastAsia="宋体" w:cs="FSFNVW+¿¬Ìå"/>
          <w:b w:val="0"/>
          <w:bCs w:val="0"/>
          <w:color w:val="000000"/>
          <w:sz w:val="22"/>
          <w:szCs w:val="16"/>
          <w:lang w:val="en-US" w:eastAsia="zh-CN" w:bidi="ar-SA"/>
        </w:rPr>
      </w:pPr>
    </w:p>
    <w:tbl>
      <w:tblPr>
        <w:tblStyle w:val="6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  <w:t>注意事项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4"/>
                <w:szCs w:val="18"/>
                <w:lang w:val="en-US" w:eastAsia="zh-CN" w:bidi="ar-SA"/>
              </w:rPr>
              <w:t>1</w:t>
            </w: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、远离儿童存放、建议在通风良好处使用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2、若不慎接触皮肤，擦拭干净，然后用清水冲洗。若不慎接触眼睛，立即用清水冲洗并到医院检查。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3、本产品不能用于纯氧或富氧体系，同时不能用于密封氯或其他强氧化性材料。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4、采用气动注胶枪施工时，可以按照生产要求调节气源压力，但不要超过 0.6MPa</w:t>
            </w: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4"/>
                <w:szCs w:val="18"/>
                <w:lang w:val="en-US" w:eastAsia="zh-CN" w:bidi="ar-SA"/>
              </w:rPr>
              <w:t>。</w:t>
            </w:r>
          </w:p>
        </w:tc>
        <w:tc>
          <w:tcPr>
            <w:tcW w:w="5341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ind w:left="420" w:leftChars="0" w:hanging="420" w:firstLineChars="0"/>
              <w:jc w:val="left"/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/>
                <w:bCs/>
                <w:color w:val="000000"/>
                <w:sz w:val="28"/>
                <w:szCs w:val="20"/>
                <w:lang w:val="en-US" w:eastAsia="zh-CN" w:bidi="ar-SA"/>
              </w:rPr>
              <w:t>包装储运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4"/>
                <w:szCs w:val="18"/>
                <w:lang w:val="en-US" w:eastAsia="zh-CN" w:bidi="ar-SA"/>
              </w:rPr>
              <w:t>1</w:t>
            </w: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、20kg 塑料桶；100 铁桶；200kg 铁桶。</w:t>
            </w: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</w:pPr>
            <w:r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2"/>
                <w:szCs w:val="16"/>
                <w:lang w:val="en-US" w:eastAsia="zh-CN" w:bidi="ar-SA"/>
              </w:rPr>
              <w:t>2、理想的贮存方式是原包装在阴凉、干燥处贮存，温度为 8℃ 至 28℃，最佳的贮存温度为此温度范围的一半。</w:t>
            </w:r>
          </w:p>
          <w:p>
            <w:pPr>
              <w:numPr>
                <w:ilvl w:val="0"/>
                <w:numId w:val="0"/>
              </w:numPr>
              <w:tabs>
                <w:tab w:val="clear" w:pos="420"/>
              </w:tabs>
              <w:ind w:leftChars="0"/>
              <w:jc w:val="both"/>
              <w:rPr>
                <w:rFonts w:hint="eastAsia" w:ascii="FSFNVW+¿¬Ìå" w:hAnsi="FSFNVW+¿¬Ìå" w:eastAsia="宋体" w:cs="FSFNVW+¿¬Ìå"/>
                <w:b w:val="0"/>
                <w:bCs w:val="0"/>
                <w:color w:val="000000"/>
                <w:sz w:val="24"/>
                <w:szCs w:val="18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tabs>
          <w:tab w:val="clear" w:pos="420"/>
        </w:tabs>
        <w:ind w:leftChars="0"/>
        <w:jc w:val="both"/>
        <w:rPr>
          <w:rFonts w:hint="eastAsia" w:ascii="FSFNVW+¿¬Ìå" w:hAnsi="FSFNVW+¿¬Ìå" w:eastAsia="宋体" w:cs="FSFNVW+¿¬Ìå"/>
          <w:b w:val="0"/>
          <w:bCs w:val="0"/>
          <w:color w:val="000000"/>
          <w:sz w:val="24"/>
          <w:szCs w:val="1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roman"/>
    <w:pitch w:val="default"/>
    <w:sig w:usb0="E10002FF" w:usb1="4000ACFF" w:usb2="00000009" w:usb3="00000000" w:csb0="2000019F" w:csb1="00000000"/>
  </w:font>
  <w:font w:name="FSFNVW+¿¬Ìå">
    <w:altName w:val="SimSun-ExtB"/>
    <w:panose1 w:val="02010609060101010101"/>
    <w:charset w:val="01"/>
    <w:family w:val="decorative"/>
    <w:pitch w:val="default"/>
    <w:sig w:usb0="00000000" w:usb1="00000000" w:usb2="00000016" w:usb3="00000000" w:csb0="00040001" w:csb1="00000000"/>
  </w:font>
  <w:font w:name="MTCLGE+¿¬Ìå">
    <w:altName w:val="SimSun-ExtB"/>
    <w:panose1 w:val="02010609060101010101"/>
    <w:charset w:val="01"/>
    <w:family w:val="decorative"/>
    <w:pitch w:val="default"/>
    <w:sig w:usb0="00000000" w:usb1="00000000" w:usb2="00000016" w:usb3="00000000" w:csb0="00040001" w:csb1="00000000"/>
  </w:font>
  <w:font w:name="FOANNG+ËÎÌå">
    <w:altName w:val="新宋体"/>
    <w:panose1 w:val="02010600030101010101"/>
    <w:charset w:val="01"/>
    <w:family w:val="auto"/>
    <w:pitch w:val="default"/>
    <w:sig w:usb0="00000000" w:usb1="00000000" w:usb2="00000006" w:usb3="00000000" w:csb0="00040001" w:csb1="00000000"/>
  </w:font>
  <w:font w:name="OJEMOP+ºÚÌå">
    <w:altName w:val="SimSun-ExtB"/>
    <w:panose1 w:val="02010609060101010101"/>
    <w:charset w:val="01"/>
    <w:family w:val="decorative"/>
    <w:pitch w:val="default"/>
    <w:sig w:usb0="00000000" w:usb1="00000000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decorative"/>
    <w:pitch w:val="default"/>
    <w:sig w:usb0="00000001" w:usb1="02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modern"/>
    <w:pitch w:val="default"/>
    <w:sig w:usb0="E10002FF" w:usb1="4000ACFF" w:usb2="00000009" w:usb3="00000000" w:csb0="2000019F" w:csb1="00000000"/>
  </w:font>
  <w:font w:name="FSFNVW+¿¬Ìå">
    <w:altName w:val="SimSun-ExtB"/>
    <w:panose1 w:val="02010609060101010101"/>
    <w:charset w:val="01"/>
    <w:family w:val="roman"/>
    <w:pitch w:val="default"/>
    <w:sig w:usb0="00000000" w:usb1="00000000" w:usb2="00000016" w:usb3="00000000" w:csb0="00040001" w:csb1="00000000"/>
  </w:font>
  <w:font w:name="MTCLGE+¿¬Ìå">
    <w:altName w:val="SimSun-ExtB"/>
    <w:panose1 w:val="02010609060101010101"/>
    <w:charset w:val="01"/>
    <w:family w:val="roman"/>
    <w:pitch w:val="default"/>
    <w:sig w:usb0="00000000" w:usb1="00000000" w:usb2="00000016" w:usb3="00000000" w:csb0="00040001" w:csb1="00000000"/>
  </w:font>
  <w:font w:name="OJEMOP+ºÚÌå">
    <w:altName w:val="SimSun-ExtB"/>
    <w:panose1 w:val="02010609060101010101"/>
    <w:charset w:val="01"/>
    <w:family w:val="roman"/>
    <w:pitch w:val="default"/>
    <w:sig w:usb0="00000000" w:usb1="00000000" w:usb2="00000016" w:usb3="00000000" w:csb0="00040001" w:csb1="00000000"/>
  </w:font>
  <w:font w:name="SimSun-ExtB">
    <w:panose1 w:val="02010609060101010101"/>
    <w:charset w:val="86"/>
    <w:family w:val="roman"/>
    <w:pitch w:val="default"/>
    <w:sig w:usb0="00000001" w:usb1="02000000" w:usb2="00000000" w:usb3="00000000" w:csb0="0004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FSFNVW+¿¬Ìå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MTCLGE+¿¬Ìå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OJEMOP+ºÚÌå">
    <w:altName w:val="SimSun-ExtB"/>
    <w:panose1 w:val="02010609060101010101"/>
    <w:charset w:val="01"/>
    <w:family w:val="modern"/>
    <w:pitch w:val="default"/>
    <w:sig w:usb0="00000000" w:usb1="00000000" w:usb2="00000016" w:usb3="00000000" w:csb0="00040001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Arial">
    <w:panose1 w:val="020B0604020202020204"/>
    <w:charset w:val="CC"/>
    <w:family w:val="decorative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decorative"/>
    <w:pitch w:val="default"/>
    <w:sig w:usb0="E10002FF" w:usb1="4000ACFF" w:usb2="00000009" w:usb3="00000000" w:csb0="2000019F" w:csb1="00000000"/>
  </w:font>
  <w:font w:name="FSFNVW+¿¬Ìå">
    <w:altName w:val="SimSun-ExtB"/>
    <w:panose1 w:val="02010609060101010101"/>
    <w:charset w:val="01"/>
    <w:family w:val="swiss"/>
    <w:pitch w:val="default"/>
    <w:sig w:usb0="00000000" w:usb1="00000000" w:usb2="00000016" w:usb3="00000000" w:csb0="00040001" w:csb1="00000000"/>
  </w:font>
  <w:font w:name="MTCLGE+¿¬Ìå">
    <w:altName w:val="SimSun-ExtB"/>
    <w:panose1 w:val="02010609060101010101"/>
    <w:charset w:val="01"/>
    <w:family w:val="swiss"/>
    <w:pitch w:val="default"/>
    <w:sig w:usb0="00000000" w:usb1="00000000" w:usb2="00000016" w:usb3="00000000" w:csb0="00040001" w:csb1="00000000"/>
  </w:font>
  <w:font w:name="OJEMOP+ºÚÌå">
    <w:altName w:val="SimSun-ExtB"/>
    <w:panose1 w:val="02010609060101010101"/>
    <w:charset w:val="01"/>
    <w:family w:val="swiss"/>
    <w:pitch w:val="default"/>
    <w:sig w:usb0="00000000" w:usb1="00000000" w:usb2="00000016" w:usb3="00000000" w:csb0="00040001" w:csb1="00000000"/>
  </w:font>
  <w:font w:name="SimSun-ExtB">
    <w:panose1 w:val="02010609060101010101"/>
    <w:charset w:val="86"/>
    <w:family w:val="swiss"/>
    <w:pitch w:val="default"/>
    <w:sig w:usb0="00000001" w:usb1="02000000" w:usb2="00000000" w:usb3="00000000" w:csb0="00040001" w:csb1="00000000"/>
  </w:font>
  <w:font w:name="SimSun-ExtB">
    <w:panose1 w:val="02010609060101010101"/>
    <w:charset w:val="86"/>
    <w:family w:val="decorative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116955" cy="1466215"/>
          <wp:effectExtent l="0" t="0" r="17145" b="635"/>
          <wp:docPr id="1" name="图片 1" descr="TDS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TDS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955" cy="1466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2226720">
    <w:nsid w:val="5DB646A0"/>
    <w:multiLevelType w:val="singleLevel"/>
    <w:tmpl w:val="5DB646A0"/>
    <w:lvl w:ilvl="0" w:tentative="1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5722267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1FD8"/>
    <w:rsid w:val="0E4413D5"/>
    <w:rsid w:val="5B59036D"/>
    <w:rsid w:val="69EC15D6"/>
    <w:rsid w:val="7C241FD8"/>
    <w:rsid w:val="7EF324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785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2019-10-28T01:31:00Z</dcterms:created>
  <dc:creator>Administrator</dc:creator>
  <cp:lastModifiedBy>Administrator</cp:lastModifiedBy>
  <dcterms:modified xsi:type="dcterms:W3CDTF">2019-10-28T02:07:33Z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