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right="0"/>
        <w:jc w:val="center"/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>MSK 有机硅阻燃导热灌封胶 MR6619-1.0AB</w:t>
      </w:r>
    </w:p>
    <w:p>
      <w:pPr>
        <w:widowControl/>
        <w:autoSpaceDE/>
        <w:autoSpaceDN/>
        <w:spacing w:before="39" w:after="0" w:line="240" w:lineRule="auto"/>
        <w:ind w:left="218" w:leftChars="99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18" w:leftChars="99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spacing w:before="102" w:line="278" w:lineRule="auto"/>
        <w:ind w:left="117" w:right="-440" w:rightChars="0" w:firstLine="420"/>
        <w:jc w:val="left"/>
        <w:rPr>
          <w:rFonts w:hint="eastAsia" w:cs="楷体"/>
          <w:sz w:val="21"/>
          <w:szCs w:val="21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>MR</w:t>
      </w:r>
      <w:r>
        <w:rPr>
          <w:rFonts w:ascii="Times New Roman" w:eastAsia="Times New Roman"/>
          <w:sz w:val="21"/>
        </w:rPr>
        <w:t xml:space="preserve">6619 </w:t>
      </w:r>
      <w:r>
        <w:rPr>
          <w:sz w:val="21"/>
        </w:rPr>
        <w:t>是一种导热性能好，流动性能优异的高导热有机硅电子灌封胶。其在固化前</w:t>
      </w:r>
      <w:r>
        <w:rPr>
          <w:spacing w:val="-6"/>
          <w:sz w:val="21"/>
        </w:rPr>
        <w:t>具有较低的粘度，两个组分混合后既可以室温固化，也可加温固化，温度越高固化越快，固</w:t>
      </w:r>
      <w:r>
        <w:rPr>
          <w:spacing w:val="-11"/>
          <w:sz w:val="21"/>
        </w:rPr>
        <w:t>化时材料无收缩。该产品通过对电子元件进行灌封以有效的防止水分、尘埃及有害气体对电</w:t>
      </w:r>
      <w:r>
        <w:rPr>
          <w:spacing w:val="-17"/>
          <w:w w:val="95"/>
          <w:sz w:val="21"/>
        </w:rPr>
        <w:t>子元器件的侵入，减缓振动，防止外力损伤和稳定元器件参数，将外界的不良影响降到最低。</w:t>
      </w:r>
      <w:r>
        <w:rPr>
          <w:spacing w:val="-15"/>
          <w:w w:val="95"/>
          <w:sz w:val="21"/>
        </w:rPr>
        <w:t>同时，导热材料的运用可以有效的使电路产出的热得以扩散，阻止线路热量集中，温度上升</w:t>
      </w:r>
      <w:r>
        <w:rPr>
          <w:rFonts w:hint="eastAsia"/>
          <w:spacing w:val="-15"/>
          <w:w w:val="95"/>
          <w:sz w:val="21"/>
          <w:lang w:eastAsia="zh-CN"/>
        </w:rPr>
        <w:t>，</w:t>
      </w:r>
      <w:r>
        <w:rPr>
          <w:spacing w:val="-14"/>
          <w:sz w:val="21"/>
        </w:rPr>
        <w:t>从而延长电子器件的使用寿命。</w:t>
      </w:r>
      <w:r>
        <w:rPr>
          <w:rFonts w:hint="eastAsia" w:cs="楷体"/>
          <w:sz w:val="21"/>
          <w:szCs w:val="21"/>
          <w:lang w:val="en-US" w:eastAsia="zh-CN" w:bidi="en-US"/>
        </w:rPr>
        <w:t xml:space="preserve">                           </w:t>
      </w:r>
    </w:p>
    <w:p>
      <w:pPr>
        <w:spacing w:before="102" w:line="278" w:lineRule="auto"/>
        <w:ind w:left="121" w:right="-440" w:rightChars="0" w:firstLine="5852" w:firstLineChars="2787"/>
        <w:jc w:val="left"/>
        <w:rPr>
          <w:rFonts w:hint="default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产品典型性能参数:</w:t>
      </w:r>
    </w:p>
    <w:p>
      <w:pPr>
        <w:tabs>
          <w:tab w:val="left" w:pos="954"/>
        </w:tabs>
        <w:spacing w:after="0" w:line="278" w:lineRule="auto"/>
        <w:rPr>
          <w:rFonts w:hint="eastAsia"/>
          <w:lang w:eastAsia="zh-CN"/>
        </w:rPr>
        <w:sectPr>
          <w:headerReference r:id="rId3" w:type="default"/>
          <w:type w:val="continuous"/>
          <w:pgSz w:w="11910" w:h="16840"/>
          <w:pgMar w:top="840" w:right="1290" w:bottom="280" w:left="720" w:header="60" w:footer="720" w:gutter="0"/>
          <w:cols w:space="425" w:num="1"/>
        </w:sect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b/>
          <w:bCs/>
          <w:sz w:val="24"/>
          <w:szCs w:val="22"/>
          <w:lang w:val="en-US" w:eastAsia="zh-CN" w:bidi="en-US"/>
        </w:rPr>
        <w:t>产品特点和优点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流动性好，易灌封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导热效果好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线收缩率低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100%固体，无固化副产物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使用温度-50℃~200℃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UL 94 V-0（E469464）</w:t>
      </w: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功率模块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大功率电源模块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控制器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逆变器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车用电子产品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0"/>
        <w:ind w:left="0" w:leftChars="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  <w:r>
        <w:rPr>
          <w:rFonts w:hint="eastAsia" w:cs="楷体"/>
          <w:b/>
          <w:bCs/>
          <w:sz w:val="24"/>
          <w:szCs w:val="22"/>
          <w:lang w:val="en-US" w:eastAsia="zh-CN" w:bidi="en-US"/>
        </w:rPr>
        <w:t>方法</w:t>
      </w:r>
    </w:p>
    <w:p>
      <w:pPr>
        <w:pStyle w:val="3"/>
        <w:spacing w:before="138" w:line="242" w:lineRule="auto"/>
        <w:ind w:left="0" w:leftChars="0" w:right="-660" w:rightChars="0" w:firstLine="480" w:firstLineChars="0"/>
      </w:pPr>
      <w:r>
        <w:rPr>
          <w:spacing w:val="-13"/>
        </w:rPr>
        <w:t xml:space="preserve">使用时将 </w:t>
      </w:r>
      <w:r>
        <w:rPr>
          <w:rFonts w:ascii="Times New Roman" w:eastAsia="Times New Roman"/>
        </w:rPr>
        <w:t>A</w:t>
      </w:r>
      <w:r>
        <w:t>，</w:t>
      </w:r>
      <w:r>
        <w:rPr>
          <w:rFonts w:ascii="Times New Roman" w:eastAsia="Times New Roman"/>
        </w:rPr>
        <w:t xml:space="preserve">B </w:t>
      </w:r>
      <w:r>
        <w:rPr>
          <w:spacing w:val="-20"/>
        </w:rPr>
        <w:t xml:space="preserve">按照 </w:t>
      </w:r>
      <w:r>
        <w:rPr>
          <w:rFonts w:ascii="Times New Roman" w:eastAsia="Times New Roman"/>
        </w:rPr>
        <w:t>1</w:t>
      </w:r>
      <w:r>
        <w:t>：</w:t>
      </w:r>
      <w:r>
        <w:rPr>
          <w:rFonts w:ascii="Times New Roman" w:eastAsia="Times New Roman"/>
        </w:rPr>
        <w:t xml:space="preserve">1 </w:t>
      </w:r>
      <w:r>
        <w:rPr>
          <w:spacing w:val="-1"/>
        </w:rPr>
        <w:t>的比例混合均匀，浇注在需要</w:t>
      </w:r>
      <w:r>
        <w:rPr>
          <w:rFonts w:hint="eastAsia"/>
          <w:spacing w:val="-1"/>
          <w:lang w:val="en-US" w:eastAsia="zh-CN"/>
        </w:rPr>
        <w:t xml:space="preserve">  </w:t>
      </w:r>
      <w:r>
        <w:rPr>
          <w:spacing w:val="-1"/>
        </w:rPr>
        <w:t>灌封的部位。产品</w:t>
      </w:r>
      <w:r>
        <w:rPr>
          <w:spacing w:val="-16"/>
        </w:rPr>
        <w:t>有良好的自排泡性能，一般直接灌封即可达到</w:t>
      </w:r>
      <w:r>
        <w:rPr>
          <w:rFonts w:hint="eastAsia"/>
          <w:spacing w:val="-16"/>
          <w:lang w:val="en-US" w:eastAsia="zh-CN"/>
        </w:rPr>
        <w:t xml:space="preserve">   </w:t>
      </w:r>
      <w:r>
        <w:rPr>
          <w:spacing w:val="-16"/>
        </w:rPr>
        <w:t>需要的散热效果，抽真空后再灌封</w:t>
      </w:r>
      <w:r>
        <w:rPr>
          <w:rFonts w:hint="eastAsia"/>
          <w:spacing w:val="-16"/>
          <w:lang w:eastAsia="zh-CN"/>
        </w:rPr>
        <w:t>，</w:t>
      </w:r>
      <w:r>
        <w:rPr>
          <w:spacing w:val="-1"/>
        </w:rPr>
        <w:t>导热效果更佳</w:t>
      </w:r>
      <w:r>
        <w:rPr>
          <w:rFonts w:hint="eastAsia"/>
          <w:spacing w:val="-1"/>
          <w:lang w:val="en-US" w:eastAsia="zh-CN"/>
        </w:rPr>
        <w:t>。</w:t>
      </w:r>
      <w:r>
        <w:rPr>
          <w:spacing w:val="-1"/>
        </w:rPr>
        <w:t>灌封完成后根据具体工艺条件，室温加热固化均可。</w:t>
      </w:r>
    </w:p>
    <w:tbl>
      <w:tblPr>
        <w:tblStyle w:val="6"/>
        <w:tblW w:w="4512" w:type="dxa"/>
        <w:tblInd w:w="-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1338"/>
        <w:gridCol w:w="1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pStyle w:val="10"/>
              <w:ind w:left="95" w:leftChars="0" w:right="115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性能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59"/>
              <w:ind w:left="127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MR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18"/>
                <w:szCs w:val="18"/>
              </w:rPr>
              <w:t>6619-1.0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>
            <w:pPr>
              <w:pStyle w:val="10"/>
              <w:ind w:left="152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测试标准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512" w:type="dxa"/>
            <w:gridSpan w:val="3"/>
            <w:shd w:val="clear" w:color="auto" w:fill="33CC33"/>
            <w:vAlign w:val="center"/>
          </w:tcPr>
          <w:p>
            <w:pPr>
              <w:pStyle w:val="10"/>
              <w:spacing w:before="52"/>
              <w:ind w:left="369" w:leftChars="0" w:right="0" w:rightChars="0"/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未固化性能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pStyle w:val="10"/>
              <w:ind w:left="95" w:leftChars="0" w:right="115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颜色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ind w:left="123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灰色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>
            <w:pPr>
              <w:pStyle w:val="10"/>
              <w:ind w:left="152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spacing w:before="47"/>
              <w:ind w:left="95" w:leftChars="0" w:right="115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混合粘度/mPa·s</w:t>
            </w:r>
          </w:p>
        </w:tc>
        <w:tc>
          <w:tcPr>
            <w:tcW w:w="133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spacing w:before="47"/>
              <w:ind w:left="122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2000±300</w:t>
            </w:r>
          </w:p>
        </w:tc>
        <w:tc>
          <w:tcPr>
            <w:tcW w:w="1312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pStyle w:val="10"/>
              <w:spacing w:before="59"/>
              <w:ind w:left="153" w:leftChars="0" w:right="5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ASTM D1084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55"/>
              <w:ind w:left="369" w:leftChars="0" w:right="0" w:rightChars="0"/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操作性能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62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48"/>
              <w:ind w:left="95" w:leftChars="0" w:right="115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操作时间/min@25℃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59"/>
              <w:ind w:left="122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30~40</w:t>
            </w:r>
          </w:p>
        </w:tc>
        <w:tc>
          <w:tcPr>
            <w:tcW w:w="1312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48"/>
              <w:ind w:left="152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pStyle w:val="10"/>
              <w:ind w:left="95" w:leftChars="0" w:right="118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表干时间/h@25℃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62"/>
              <w:ind w:left="0" w:leftChars="0" w:right="22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>
            <w:pPr>
              <w:pStyle w:val="10"/>
              <w:ind w:left="152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pStyle w:val="10"/>
              <w:spacing w:before="47"/>
              <w:ind w:left="95" w:leftChars="0" w:right="118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初步固化/h@25℃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59"/>
              <w:ind w:left="122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4~6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>
            <w:pPr>
              <w:pStyle w:val="10"/>
              <w:spacing w:before="47"/>
              <w:ind w:left="152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6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ind w:left="95" w:leftChars="0" w:right="115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固化时间/min@80℃</w:t>
            </w:r>
          </w:p>
        </w:tc>
        <w:tc>
          <w:tcPr>
            <w:tcW w:w="133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spacing w:before="62"/>
              <w:ind w:left="122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30</w:t>
            </w:r>
          </w:p>
        </w:tc>
        <w:tc>
          <w:tcPr>
            <w:tcW w:w="1312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pStyle w:val="10"/>
              <w:ind w:left="152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55"/>
              <w:ind w:left="369" w:leftChars="0" w:right="0" w:right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固化后性能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62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48"/>
              <w:ind w:left="95" w:leftChars="0" w:right="115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硬度/邵A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48"/>
              <w:ind w:left="119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50±5A</w:t>
            </w:r>
          </w:p>
        </w:tc>
        <w:tc>
          <w:tcPr>
            <w:tcW w:w="1312" w:type="dxa"/>
            <w:tcBorders>
              <w:top w:val="single" w:color="auto" w:sz="4" w:space="0"/>
            </w:tcBorders>
            <w:shd w:val="clear" w:color="auto" w:fill="33CC33"/>
            <w:vAlign w:val="center"/>
          </w:tcPr>
          <w:p>
            <w:pPr>
              <w:pStyle w:val="10"/>
              <w:spacing w:before="59"/>
              <w:ind w:left="151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ASTM D2240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pStyle w:val="10"/>
              <w:ind w:left="95" w:leftChars="0" w:right="113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导热系数/W·m</w:t>
            </w:r>
            <w:r>
              <w:rPr>
                <w:rFonts w:hint="eastAsia" w:ascii="楷体" w:hAnsi="楷体" w:eastAsia="楷体" w:cs="楷体"/>
                <w:position w:val="6"/>
                <w:sz w:val="18"/>
                <w:szCs w:val="18"/>
              </w:rPr>
              <w:t>-1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k</w:t>
            </w:r>
            <w:r>
              <w:rPr>
                <w:rFonts w:hint="eastAsia" w:ascii="楷体" w:hAnsi="楷体" w:eastAsia="楷体" w:cs="楷体"/>
                <w:position w:val="6"/>
                <w:sz w:val="18"/>
                <w:szCs w:val="18"/>
              </w:rPr>
              <w:t>-1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59"/>
              <w:ind w:left="117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1.0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>
            <w:pPr>
              <w:pStyle w:val="10"/>
              <w:spacing w:before="59"/>
              <w:ind w:left="151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ASTM D5470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pStyle w:val="10"/>
              <w:spacing w:before="47"/>
              <w:ind w:left="0" w:leftChars="0" w:right="115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介电强度/kV/mm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47"/>
              <w:ind w:left="119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≥20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>
            <w:pPr>
              <w:pStyle w:val="10"/>
              <w:spacing w:before="59"/>
              <w:ind w:left="151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ASTM D149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pStyle w:val="10"/>
              <w:ind w:left="0" w:leftChars="0" w:right="115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体积电阻率/Ω·cm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ind w:left="116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 xml:space="preserve">≥1X10 </w:t>
            </w:r>
            <w:r>
              <w:rPr>
                <w:rFonts w:hint="eastAsia" w:ascii="楷体" w:hAnsi="楷体" w:eastAsia="楷体" w:cs="楷体"/>
                <w:position w:val="6"/>
                <w:sz w:val="18"/>
                <w:szCs w:val="18"/>
              </w:rPr>
              <w:t>14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>
            <w:pPr>
              <w:pStyle w:val="10"/>
              <w:spacing w:before="59"/>
              <w:ind w:left="151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ASTM D257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pStyle w:val="10"/>
              <w:spacing w:before="48"/>
              <w:ind w:left="95" w:leftChars="0" w:right="115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阻燃等级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>
            <w:pPr>
              <w:pStyle w:val="10"/>
              <w:spacing w:before="59"/>
              <w:ind w:left="119" w:leftChars="0" w:right="144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V-0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>
            <w:pPr>
              <w:pStyle w:val="10"/>
              <w:spacing w:before="59"/>
              <w:ind w:left="148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UL 794</w:t>
            </w:r>
          </w:p>
        </w:tc>
      </w:tr>
    </w:tbl>
    <w:p>
      <w:pPr>
        <w:spacing w:before="0"/>
        <w:ind w:left="-660" w:leftChars="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sectPr>
          <w:type w:val="continuous"/>
          <w:pgSz w:w="11910" w:h="16840"/>
          <w:pgMar w:top="840" w:right="1480" w:bottom="280" w:left="940" w:header="720" w:footer="720" w:gutter="0"/>
          <w:cols w:equalWidth="0" w:num="2">
            <w:col w:w="5280" w:space="660"/>
            <w:col w:w="3549"/>
          </w:cols>
        </w:sectPr>
      </w:pP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</w:p>
    <w:p>
      <w:pPr>
        <w:spacing w:before="102" w:line="278" w:lineRule="auto"/>
        <w:ind w:left="-660" w:leftChars="0" w:right="-630" w:rightChars="0" w:firstLine="420" w:firstLineChars="0"/>
        <w:jc w:val="left"/>
        <w:rPr>
          <w:rFonts w:hint="eastAsia" w:cs="楷体"/>
          <w:sz w:val="21"/>
          <w:szCs w:val="21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>本产品属于加成型固化硅橡胶，遇到以下物质会影响或阻碍产品的固化： 含有锡（Sn2+）、铅（Pb2+）、汞（Hg2+）等重金属离子的化合物；有机锡以及含有机锡的硅酮胶；含 N、S、P 的有机化合物；某些不饱和碳氢增塑剂等。</w:t>
      </w: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</w:t>
      </w:r>
    </w:p>
    <w:p>
      <w:pPr>
        <w:pStyle w:val="3"/>
        <w:spacing w:before="134"/>
        <w:ind w:left="-219" w:leftChars="0" w:firstLine="0" w:firstLineChars="0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20kg/桶，40kg/组。</w:t>
      </w: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储存</w:t>
      </w:r>
    </w:p>
    <w:p>
      <w:pPr>
        <w:spacing w:before="102" w:line="278" w:lineRule="auto"/>
        <w:ind w:left="-660" w:leftChars="0" w:right="-630" w:rightChars="0" w:firstLine="420" w:firstLineChars="0"/>
        <w:jc w:val="left"/>
        <w:rPr>
          <w:sz w:val="22"/>
          <w:szCs w:val="21"/>
        </w:rPr>
      </w:pPr>
      <w:r>
        <w:rPr>
          <w:rFonts w:hint="eastAsia" w:cs="楷体"/>
          <w:sz w:val="21"/>
          <w:szCs w:val="21"/>
          <w:lang w:val="en-US" w:eastAsia="zh-CN" w:bidi="en-US"/>
        </w:rPr>
        <w:t>在 30℃以下密封保存，A、B 组分的有效期为自生产日期后十二个月。存放时间超过三个月，导热粉体会有沉降现象，使用前搅拌均匀，不影响产品使用性能。</w:t>
      </w:r>
    </w:p>
    <w:sectPr>
      <w:type w:val="continuous"/>
      <w:pgSz w:w="11910" w:h="16840"/>
      <w:pgMar w:top="840" w:right="1480" w:bottom="280" w:left="1600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03350"/>
          <wp:effectExtent l="0" t="0" r="0" b="6350"/>
          <wp:docPr id="7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4BA2"/>
    <w:rsid w:val="00FD4E4A"/>
    <w:rsid w:val="059052DB"/>
    <w:rsid w:val="0C9C47EC"/>
    <w:rsid w:val="12D52749"/>
    <w:rsid w:val="130B3BAC"/>
    <w:rsid w:val="1C6E0D16"/>
    <w:rsid w:val="25B4705F"/>
    <w:rsid w:val="260D4314"/>
    <w:rsid w:val="2A282D4F"/>
    <w:rsid w:val="2A937131"/>
    <w:rsid w:val="2D303A21"/>
    <w:rsid w:val="2E6B7817"/>
    <w:rsid w:val="32D25786"/>
    <w:rsid w:val="334F714E"/>
    <w:rsid w:val="3F724832"/>
    <w:rsid w:val="4BD063BC"/>
    <w:rsid w:val="54432AD7"/>
    <w:rsid w:val="5505544A"/>
    <w:rsid w:val="62357639"/>
    <w:rsid w:val="6B13759D"/>
    <w:rsid w:val="70CE67FA"/>
    <w:rsid w:val="72247A3B"/>
    <w:rsid w:val="730F7BD2"/>
    <w:rsid w:val="79CF386F"/>
    <w:rsid w:val="7CD00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4"/>
      <w:ind w:left="764" w:hanging="86"/>
    </w:pPr>
    <w:rPr>
      <w:rFonts w:ascii="楷体" w:hAnsi="楷体" w:eastAsia="楷体" w:cs="楷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50"/>
      <w:ind w:left="95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2020-04-09T01:39:00Z</dcterms:created>
  <dc:creator>Administrator</dc:creator>
  <cp:lastModifiedBy>孙可慧《力达创新QantaGroup》</cp:lastModifiedBy>
  <dcterms:modified xsi:type="dcterms:W3CDTF">2020-07-29T07:40:19Z</dcterms:modified>
  <dc:title>TDS TBL-6238-2.0.doc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TDS TBL-6238-2.0.doc - WPS 文字 - 兼容模式</vt:lpwstr>
  </property>
  <property fmtid="{D5CDD505-2E9C-101B-9397-08002B2CF9AE}" pid="4" name="LastSaved">
    <vt:filetime>2020-04-09T00:00:00Z</vt:filetime>
  </property>
  <property fmtid="{D5CDD505-2E9C-101B-9397-08002B2CF9AE}" pid="5" name="KSOProductBuildVer">
    <vt:lpwstr>2052-11.1.0.9828</vt:lpwstr>
  </property>
</Properties>
</file>