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ind w:left="203"/>
        <w:rPr>
          <w:rFonts w:hint="eastAsia" w:ascii="Times New Roman" w:eastAsia="宋体"/>
          <w:sz w:val="20"/>
          <w:lang w:eastAsia="zh-CN"/>
        </w:rPr>
      </w:pPr>
      <w:r>
        <w:rPr>
          <w:rFonts w:hint="eastAsia" w:ascii="Times New Roman" w:eastAsia="宋体"/>
          <w:sz w:val="20"/>
          <w:lang w:eastAsia="zh-CN"/>
        </w:rPr>
        <w:drawing>
          <wp:inline distT="0" distB="0" distL="114300" distR="114300">
            <wp:extent cx="1183005" cy="558165"/>
            <wp:effectExtent l="0" t="0" r="17145" b="13335"/>
            <wp:docPr id="2" name="图片 2" descr="15524395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24395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rFonts w:ascii="Times New Roman"/>
        </w:rPr>
      </w:pPr>
    </w:p>
    <w:p>
      <w:pPr>
        <w:pStyle w:val="2"/>
        <w:spacing w:before="70"/>
        <w:ind w:left="2939"/>
      </w:pPr>
      <w:r>
        <w:t>技术数据表</w:t>
      </w:r>
    </w:p>
    <w:p>
      <w:pPr>
        <w:spacing w:before="0" w:line="240" w:lineRule="auto"/>
        <w:rPr>
          <w:sz w:val="22"/>
        </w:rPr>
      </w:pPr>
    </w:p>
    <w:p>
      <w:pPr>
        <w:spacing w:before="0" w:line="240" w:lineRule="auto"/>
        <w:rPr>
          <w:sz w:val="22"/>
        </w:rPr>
      </w:pPr>
    </w:p>
    <w:p>
      <w:pPr>
        <w:spacing w:before="0"/>
        <w:ind w:right="0" w:firstLine="3840" w:firstLineChars="1600"/>
        <w:jc w:val="left"/>
        <w:rPr>
          <w:rFonts w:hint="default" w:ascii="Arial Black" w:hAnsi="Arial Black"/>
          <w:sz w:val="24"/>
          <w:lang w:val="en-US"/>
        </w:rPr>
      </w:pPr>
      <w:r>
        <w:rPr>
          <w:rFonts w:hint="eastAsia" w:ascii="Arial Black" w:hAnsi="Arial Black"/>
          <w:sz w:val="24"/>
          <w:lang w:val="en-US" w:eastAsia="zh-CN"/>
        </w:rPr>
        <w:t>MSK MD8560</w:t>
      </w:r>
    </w:p>
    <w:p>
      <w:pPr>
        <w:pStyle w:val="3"/>
        <w:rPr>
          <w:rFonts w:ascii="Arial Black"/>
          <w:sz w:val="20"/>
        </w:rPr>
      </w:pPr>
    </w:p>
    <w:p>
      <w:pPr>
        <w:pStyle w:val="3"/>
        <w:spacing w:before="11" w:after="1"/>
        <w:rPr>
          <w:rFonts w:ascii="Arial Black"/>
          <w:sz w:val="27"/>
        </w:rPr>
      </w:pPr>
    </w:p>
    <w:tbl>
      <w:tblPr>
        <w:tblStyle w:val="7"/>
        <w:tblW w:w="10140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8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115" w:type="dxa"/>
          </w:tcPr>
          <w:p>
            <w:pPr>
              <w:pStyle w:val="11"/>
              <w:rPr>
                <w:rFonts w:ascii="Times New Roman"/>
                <w:sz w:val="18"/>
              </w:rPr>
            </w:pPr>
          </w:p>
        </w:tc>
        <w:tc>
          <w:tcPr>
            <w:tcW w:w="8025" w:type="dxa"/>
            <w:vAlign w:val="center"/>
          </w:tcPr>
          <w:p>
            <w:pPr>
              <w:pStyle w:val="11"/>
              <w:spacing w:line="252" w:lineRule="exact"/>
              <w:ind w:firstLine="1100" w:firstLineChars="5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高拉型气相硅橡胶是硅胶产品一种常见性能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instrText xml:space="preserve"> HYPERLINK "http://baike.baidu.com/subview/604729/604729.htm" \t "http://baike.baidu.com/_blank"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硅胶制品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2115" w:type="dxa"/>
          </w:tcPr>
          <w:p>
            <w:pPr>
              <w:pStyle w:val="11"/>
              <w:spacing w:before="14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特性和优点</w:t>
            </w:r>
          </w:p>
        </w:tc>
        <w:tc>
          <w:tcPr>
            <w:tcW w:w="8025" w:type="dxa"/>
            <w:vAlign w:val="center"/>
          </w:tcPr>
          <w:p>
            <w:pPr>
              <w:pStyle w:val="11"/>
              <w:spacing w:line="252" w:lineRule="exact"/>
              <w:ind w:left="753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多种用途(GP)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化学性质稳定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原料透明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lang w:val="en-US" w:eastAsia="zh-CN"/>
              </w:rPr>
              <w:t>优异的电绝缘性能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1104"/>
                <w:tab w:val="left" w:pos="1105"/>
              </w:tabs>
              <w:spacing w:before="0" w:after="0" w:line="270" w:lineRule="exact"/>
              <w:ind w:left="744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15" w:type="dxa"/>
          </w:tcPr>
          <w:p>
            <w:pPr>
              <w:pStyle w:val="11"/>
              <w:spacing w:before="1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组成</w:t>
            </w:r>
          </w:p>
        </w:tc>
        <w:tc>
          <w:tcPr>
            <w:tcW w:w="8025" w:type="dxa"/>
            <w:vAlign w:val="center"/>
          </w:tcPr>
          <w:p>
            <w:pPr>
              <w:pStyle w:val="11"/>
              <w:spacing w:line="252" w:lineRule="exact"/>
              <w:ind w:left="753"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有机硅橡胶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115" w:type="dxa"/>
          </w:tcPr>
          <w:p>
            <w:pPr>
              <w:pStyle w:val="11"/>
              <w:spacing w:before="13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</w:t>
            </w:r>
          </w:p>
        </w:tc>
        <w:tc>
          <w:tcPr>
            <w:tcW w:w="802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模压型气相杂件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按键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1103"/>
                <w:tab w:val="left" w:pos="1104"/>
              </w:tabs>
              <w:spacing w:before="142" w:after="0" w:line="276" w:lineRule="exact"/>
              <w:ind w:left="1104" w:right="0" w:hanging="36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厨具类制品</w:t>
            </w:r>
          </w:p>
          <w:p>
            <w:pPr>
              <w:pStyle w:val="11"/>
              <w:spacing w:line="252" w:lineRule="exact"/>
              <w:ind w:left="753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</w:p>
        </w:tc>
      </w:tr>
    </w:tbl>
    <w:p>
      <w:pPr>
        <w:pStyle w:val="3"/>
        <w:rPr>
          <w:rFonts w:ascii="Arial Black"/>
          <w:sz w:val="20"/>
        </w:rPr>
      </w:pPr>
    </w:p>
    <w:p>
      <w:pPr>
        <w:pStyle w:val="3"/>
        <w:spacing w:before="1"/>
        <w:rPr>
          <w:rFonts w:ascii="Arial Black"/>
          <w:sz w:val="17"/>
        </w:rPr>
      </w:pPr>
    </w:p>
    <w:p>
      <w:pPr>
        <w:spacing w:before="1"/>
        <w:ind w:left="337" w:right="0" w:firstLine="0"/>
        <w:jc w:val="left"/>
        <w:rPr>
          <w:b/>
          <w:sz w:val="22"/>
        </w:rPr>
      </w:pPr>
      <w:r>
        <w:rPr>
          <w:b/>
          <w:sz w:val="22"/>
        </w:rPr>
        <w:t>典型物性</w:t>
      </w:r>
    </w:p>
    <w:p>
      <w:pPr>
        <w:pStyle w:val="2"/>
      </w:pPr>
      <w:r>
        <w:t>规格制定者：以下数值不可用于制订规格。</w:t>
      </w:r>
    </w:p>
    <w:tbl>
      <w:tblPr>
        <w:tblStyle w:val="7"/>
        <w:tblW w:w="103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035"/>
        <w:gridCol w:w="1110"/>
        <w:gridCol w:w="1320"/>
        <w:gridCol w:w="1320"/>
        <w:gridCol w:w="1350"/>
        <w:gridCol w:w="1500"/>
        <w:gridCol w:w="1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Part.No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硬度(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A)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Appearance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线收缩率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可塑度(Williams)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Plasticity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拉伸强度</w:t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(kgf/cm2)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Tensile Strength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伸长率(%)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Elongation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撕裂强度</w:t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(N/mm)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Tear Strength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永久变形(%)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Tensile  Set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MD8560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15.60</w:t>
            </w:r>
          </w:p>
        </w:tc>
      </w:tr>
    </w:tbl>
    <w:p>
      <w:pPr>
        <w:spacing w:before="1" w:after="1" w:line="240" w:lineRule="auto"/>
        <w:rPr>
          <w:sz w:val="20"/>
        </w:rPr>
      </w:pPr>
    </w:p>
    <w:p>
      <w:pPr/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硫化条件： C-15（1.3%）,  170℃×10min。二次硫化 200℃×4h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操作条件：使用时戴上防护眼镜和防护手套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存储条件：低温干燥,远离明火,避免阳光直射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spacing w:before="0" w:line="240" w:lineRule="auto"/>
        <w:rPr>
          <w:sz w:val="20"/>
        </w:rPr>
      </w:pPr>
    </w:p>
    <w:tbl>
      <w:tblPr>
        <w:tblStyle w:val="7"/>
        <w:tblW w:w="10413" w:type="dxa"/>
        <w:tblInd w:w="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8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2269" w:type="dxa"/>
          </w:tcPr>
          <w:p>
            <w:pPr>
              <w:pStyle w:val="11"/>
              <w:spacing w:line="256" w:lineRule="exact"/>
              <w:ind w:left="523"/>
              <w:rPr>
                <w:spacing w:val="-11"/>
                <w:w w:val="95"/>
                <w:sz w:val="22"/>
              </w:rPr>
            </w:pPr>
            <w:r>
              <w:rPr>
                <w:b/>
                <w:sz w:val="22"/>
              </w:rPr>
              <w:t>描述</w:t>
            </w:r>
          </w:p>
        </w:tc>
        <w:tc>
          <w:tcPr>
            <w:tcW w:w="8144" w:type="dxa"/>
          </w:tcPr>
          <w:p>
            <w:pPr>
              <w:numPr>
                <w:ilvl w:val="0"/>
                <w:numId w:val="0"/>
              </w:numPr>
              <w:ind w:left="660" w:leftChars="30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MSK MD8560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硅橡胶是一种多用途硅橡胶复合材料，专用于生产模压制品，效果良好。该硅橡胶能与其它系列有机硅橡胶混合，所制得的材料具有中等硬度。其外观呈灰白色半透明状，因此易于着色，形成最理想色调。主要用于模压制品的生产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模压型气相杂件，按键，厨具类制品等。</w:t>
            </w:r>
          </w:p>
          <w:p>
            <w:pPr>
              <w:pStyle w:val="11"/>
              <w:spacing w:before="115" w:line="242" w:lineRule="auto"/>
              <w:ind w:left="523" w:right="217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269" w:type="dxa"/>
          </w:tcPr>
          <w:p>
            <w:pPr>
              <w:pStyle w:val="11"/>
              <w:spacing w:before="12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应用方法</w:t>
            </w:r>
          </w:p>
        </w:tc>
        <w:tc>
          <w:tcPr>
            <w:tcW w:w="8144" w:type="dxa"/>
          </w:tcPr>
          <w:p>
            <w:pPr>
              <w:pStyle w:val="11"/>
              <w:spacing w:before="114"/>
              <w:ind w:left="52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混合或着色最适宜采用双辊开炼机混炼工艺。应精确控制混炼时间，以确保物料混合均匀。模压成型时，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MSK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 xml:space="preserve">建议使用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C-15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 xml:space="preserve"> 作为硫化剂。标准固化温度为 170°C (338°F),固化时间取决于最终产品的厚度。多数情况下，应在模压成型后、200°C (392°F) 件下二次固化 4 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269" w:type="dxa"/>
          </w:tcPr>
          <w:p>
            <w:pPr>
              <w:pStyle w:val="11"/>
              <w:spacing w:before="11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操作注意事项</w:t>
            </w:r>
          </w:p>
        </w:tc>
        <w:tc>
          <w:tcPr>
            <w:tcW w:w="8144" w:type="dxa"/>
          </w:tcPr>
          <w:p>
            <w:pPr>
              <w:pStyle w:val="11"/>
              <w:spacing w:before="114"/>
              <w:ind w:left="52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本资料不包含安全使用所需的产品安全信息。使用前，请阅读产品及其安全数据表以及容器标签，了解有关产品的安全使用、危害身体及健康的信息。安全数据表可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MSK技术服务中心部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或分销商处获得，或者致电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康达科技集团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联络处。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69" w:type="dxa"/>
          </w:tcPr>
          <w:p>
            <w:pPr>
              <w:pStyle w:val="11"/>
              <w:spacing w:before="12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储存与有效性</w:t>
            </w:r>
          </w:p>
        </w:tc>
        <w:tc>
          <w:tcPr>
            <w:tcW w:w="8144" w:type="dxa"/>
          </w:tcPr>
          <w:p>
            <w:pPr>
              <w:pStyle w:val="11"/>
              <w:spacing w:before="114"/>
              <w:ind w:left="52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产品应在 32°C (90°F) 或更低温度下保存于未开封的原装容器中。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69" w:type="dxa"/>
          </w:tcPr>
          <w:p>
            <w:pPr>
              <w:pStyle w:val="11"/>
              <w:spacing w:before="11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使用限制</w:t>
            </w:r>
          </w:p>
        </w:tc>
        <w:tc>
          <w:tcPr>
            <w:tcW w:w="8144" w:type="dxa"/>
          </w:tcPr>
          <w:p>
            <w:pPr>
              <w:pStyle w:val="11"/>
              <w:spacing w:before="114"/>
              <w:ind w:left="52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本产品未被测试或陈述为适用于医用或药用。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269" w:type="dxa"/>
          </w:tcPr>
          <w:p>
            <w:pPr>
              <w:pStyle w:val="11"/>
              <w:spacing w:before="12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健康和环境信息</w:t>
            </w:r>
          </w:p>
        </w:tc>
        <w:tc>
          <w:tcPr>
            <w:tcW w:w="8144" w:type="dxa"/>
          </w:tcPr>
          <w:p>
            <w:pPr>
              <w:pStyle w:val="11"/>
              <w:spacing w:before="114"/>
              <w:ind w:left="52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为帮助客户安全使用产品，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en-US"/>
              </w:rPr>
              <w:t>康达科技集团</w:t>
            </w:r>
            <w:r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  <w:t>在各地区设立了严格的产品服务组织， 并有一组产品安全和规章规范符合专家来服务客户。</w:t>
            </w:r>
          </w:p>
          <w:p>
            <w:pPr>
              <w:pStyle w:val="11"/>
              <w:spacing w:before="114"/>
              <w:ind w:left="52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</w:p>
          <w:p>
            <w:pPr>
              <w:pStyle w:val="11"/>
              <w:spacing w:before="114"/>
              <w:ind w:left="523"/>
              <w:jc w:val="left"/>
              <w:rPr>
                <w:rFonts w:ascii="宋体" w:hAnsi="宋体" w:eastAsia="宋体" w:cs="宋体"/>
                <w:sz w:val="22"/>
                <w:szCs w:val="22"/>
                <w:lang w:val="en-US" w:eastAsia="en-US" w:bidi="en-US"/>
              </w:rPr>
            </w:pPr>
          </w:p>
        </w:tc>
      </w:tr>
    </w:tbl>
    <w:p>
      <w:pPr>
        <w:spacing w:after="0" w:line="203" w:lineRule="exact"/>
      </w:pPr>
    </w:p>
    <w:p>
      <w:pPr>
        <w:pStyle w:val="3"/>
        <w:spacing w:before="8"/>
        <w:rPr>
          <w:sz w:val="12"/>
        </w:rPr>
      </w:pPr>
      <w:bookmarkStart w:id="0" w:name="_GoBack"/>
      <w:bookmarkEnd w:id="0"/>
    </w:p>
    <w:sectPr>
      <w:pgSz w:w="12240" w:h="15840"/>
      <w:pgMar w:top="900" w:right="82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"/>
      <w:lvlJc w:val="left"/>
      <w:pPr>
        <w:ind w:left="1104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251FB"/>
    <w:rsid w:val="04FD3CCD"/>
    <w:rsid w:val="05F769B3"/>
    <w:rsid w:val="0755069C"/>
    <w:rsid w:val="08694202"/>
    <w:rsid w:val="10BC1293"/>
    <w:rsid w:val="19AE7A46"/>
    <w:rsid w:val="1AD059DD"/>
    <w:rsid w:val="1F46602C"/>
    <w:rsid w:val="27E868E0"/>
    <w:rsid w:val="2EBB3B38"/>
    <w:rsid w:val="328719E7"/>
    <w:rsid w:val="40417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3280" w:hanging="360"/>
    </w:pPr>
    <w:rPr>
      <w:rFonts w:ascii="Arial" w:hAnsi="Arial" w:eastAsia="Arial" w:cs="Arial"/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2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1069</Words>
  <Characters>1254</Characters>
  <Lines>0</Lines>
  <Paragraphs>0</Paragraphs>
  <ScaleCrop>false</ScaleCrop>
  <LinksUpToDate>false</LinksUpToDate>
  <CharactersWithSpaces>1278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2019-03-13T00:49:00Z</dcterms:created>
  <dc:creator>The Dow Chemical Company</dc:creator>
  <cp:keywords>Dow, Xiameter, XIAMETER RBB-6650-50 Base, 可着色, 将接受延伸填料</cp:keywords>
  <cp:lastModifiedBy>Administrator</cp:lastModifiedBy>
  <dcterms:modified xsi:type="dcterms:W3CDTF">2019-05-13T09:15:28Z</dcterms:modified>
  <dc:subject>多用途有机硅橡胶，适用于各种模压制品</dc:subject>
  <dc:title>XIAMETER RBB-6650-50 Base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2052-10.8.0.5391</vt:lpwstr>
  </property>
</Properties>
</file>