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</w:pPr>
      <w:r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  <w:t>MSK HTV 耐热阻燃胶 MD8660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产品说明：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是一种用于耐热阻燃固化硅橡胶化合物。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·优异的耐热性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·优异的机械性能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使用方法: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·按比例添加硫化剂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·清洗开炼机，按比例将胶料通过双辊开炼机进行开炼，至胶料边缘不开叉再加入硫化剂混炼均匀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·已经加硫化剂的胶料放置过久会造成死料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应用领域: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电线电缆/汽车配件/垫圈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性能数据：</w:t>
      </w:r>
    </w:p>
    <w:tbl>
      <w:tblPr>
        <w:tblStyle w:val="8"/>
        <w:tblW w:w="0" w:type="auto"/>
        <w:tblInd w:w="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263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项目</w:t>
            </w:r>
          </w:p>
        </w:tc>
        <w:tc>
          <w:tcPr>
            <w:tcW w:w="5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MD8660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未固化性能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外观</w:t>
            </w:r>
          </w:p>
        </w:tc>
        <w:tc>
          <w:tcPr>
            <w:tcW w:w="5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乳白色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可塑度</w:t>
            </w:r>
          </w:p>
        </w:tc>
        <w:tc>
          <w:tcPr>
            <w:tcW w:w="5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固化性能（120℃固化 10min，120℃烘烤 1H）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双二四加量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1.2%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铂金硫化剂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BTS-518B:2%</w:t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ab/>
            </w: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BTS-518A:1%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机械性能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密度（25℃）g/cm³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1.22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硬度（A）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63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拉伸强度 MPa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10.2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10.24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伸长率 %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370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抗撕裂强度KM/m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36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43.44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耐热性能（250℃/72H）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硬度变化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+2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拉伸强度变化 %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-13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伸长率变化 %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27</w:t>
            </w: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zh-CN"/>
              </w:rPr>
              <w:t>-36</w:t>
            </w:r>
          </w:p>
        </w:tc>
      </w:tr>
    </w:tbl>
    <w:p>
      <w:pPr>
        <w:spacing w:line="240" w:lineRule="atLeast"/>
        <w:ind w:firstLine="630" w:firstLineChars="3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*实验数据不作具体应用规范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储存条件：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·存放于阴凉干燥通风处；   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bookmarkStart w:id="1" w:name="_GoBack"/>
      <w:bookmarkEnd w:id="1"/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·环境温度温度小于 30℃   </w:t>
      </w:r>
    </w:p>
    <w:p>
      <w:pPr>
        <w:spacing w:line="240" w:lineRule="atLeast"/>
        <w:ind w:left="0" w:leftChars="0" w:firstLine="0" w:firstLineChars="0"/>
        <w:rPr>
          <w:sz w:val="21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保质期:   6</w:t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 个</w:t>
      </w:r>
      <w:r>
        <w:rPr>
          <w:spacing w:val="-2"/>
          <w:sz w:val="21"/>
        </w:rPr>
        <w:t>月。</w:t>
      </w:r>
    </w:p>
    <w:p>
      <w:pPr>
        <w:spacing w:before="0" w:line="278" w:lineRule="auto"/>
        <w:ind w:left="12" w:leftChars="0" w:right="738" w:rightChars="0" w:hanging="12" w:hangingChars="5"/>
        <w:jc w:val="left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包装规格：</w:t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20KG/箱。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注意事项: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73" w:leftChars="210" w:right="956" w:hanging="632" w:hangingChars="3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</w:rPr>
        <w:t>应用</w:t>
      </w:r>
      <w:r>
        <w:rPr>
          <w:rFonts w:hint="eastAsia" w:ascii="楷体" w:hAnsi="楷体" w:eastAsia="楷体" w:cs="楷体"/>
        </w:rPr>
        <w:t>：1</w:t>
      </w:r>
      <w:r>
        <w:rPr>
          <w:rFonts w:hint="eastAsia" w:ascii="楷体" w:hAnsi="楷体" w:eastAsia="楷体" w:cs="楷体"/>
          <w:spacing w:val="-6"/>
        </w:rPr>
        <w:t>、混炼胶混合均匀后，若</w:t>
      </w:r>
      <w:r>
        <w:rPr>
          <w:rFonts w:hint="eastAsia" w:ascii="楷体" w:hAnsi="楷体" w:eastAsia="楷体" w:cs="楷体"/>
          <w:spacing w:val="-6"/>
          <w:lang w:val="en-US" w:eastAsia="zh-CN"/>
        </w:rPr>
        <w:t>2</w:t>
      </w:r>
      <w:r>
        <w:rPr>
          <w:rFonts w:hint="eastAsia" w:ascii="楷体" w:hAnsi="楷体" w:eastAsia="楷体" w:cs="楷体"/>
          <w:spacing w:val="-3"/>
        </w:rPr>
        <w:t>小时未被使用，可使用双辊机返炼再使用，但必须进行实验验； 2、需在通风环境进行作业。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240" w:lineRule="auto"/>
        <w:ind w:left="1052" w:leftChars="200" w:right="-102" w:rightChars="0" w:hanging="632" w:hangingChars="3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</w:rPr>
        <w:t>安全：</w:t>
      </w:r>
      <w:r>
        <w:rPr>
          <w:rFonts w:hint="eastAsia" w:ascii="楷体" w:hAnsi="楷体" w:eastAsia="楷体" w:cs="楷体"/>
        </w:rPr>
        <w:t>1、产品应用时注意劳保穿戴，避免施工过程中温烫伤，禁止食用；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240" w:lineRule="auto"/>
        <w:ind w:left="1050" w:leftChars="500" w:right="-102" w:rightChars="0" w:firstLine="0" w:firstLineChars="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</w:rPr>
        <w:t>2</w:t>
      </w:r>
      <w:r>
        <w:rPr>
          <w:rFonts w:hint="eastAsia" w:ascii="楷体" w:hAnsi="楷体" w:eastAsia="楷体" w:cs="楷体"/>
          <w:spacing w:val="-3"/>
        </w:rPr>
        <w:t>、小心使用本品，使用前和使用时请注意安全事项。此外，还应遵循有关国家或当地政府规定的安全</w:t>
      </w:r>
      <w:r>
        <w:rPr>
          <w:rFonts w:hint="eastAsia" w:ascii="楷体" w:hAnsi="楷体" w:eastAsia="楷体" w:cs="楷体"/>
          <w:spacing w:val="-39"/>
          <w:w w:val="100"/>
        </w:rPr>
        <w:t>法规</w:t>
      </w:r>
      <w:r>
        <w:rPr>
          <w:rFonts w:hint="eastAsia" w:ascii="楷体" w:hAnsi="楷体" w:eastAsia="楷体" w:cs="楷体"/>
          <w:spacing w:val="-39"/>
          <w:w w:val="100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-39"/>
          <w:w w:val="100"/>
        </w:rPr>
        <w:t>。</w:t>
      </w:r>
      <w:r>
        <w:rPr>
          <w:rFonts w:hint="eastAsia" w:ascii="楷体" w:hAnsi="楷体" w:eastAsia="楷体" w:cs="楷体"/>
          <w:w w:val="100"/>
        </w:rPr>
        <w:t>（</w:t>
      </w:r>
      <w:r>
        <w:rPr>
          <w:rFonts w:hint="eastAsia" w:ascii="楷体" w:hAnsi="楷体" w:eastAsia="楷体" w:cs="楷体"/>
          <w:spacing w:val="-3"/>
          <w:w w:val="100"/>
        </w:rPr>
        <w:t>详细安全指引参阅相应</w:t>
      </w:r>
      <w:r>
        <w:rPr>
          <w:rFonts w:hint="eastAsia" w:ascii="楷体" w:hAnsi="楷体" w:eastAsia="楷体" w:cs="楷体"/>
          <w:spacing w:val="-3"/>
        </w:rPr>
        <w:t xml:space="preserve"> </w:t>
      </w:r>
      <w:r>
        <w:rPr>
          <w:rFonts w:hint="eastAsia" w:ascii="楷体" w:hAnsi="楷体" w:eastAsia="楷体" w:cs="楷体"/>
          <w:spacing w:val="-3"/>
          <w:w w:val="100"/>
        </w:rPr>
        <w:t>M</w:t>
      </w:r>
      <w:r>
        <w:rPr>
          <w:rFonts w:hint="eastAsia" w:ascii="楷体" w:hAnsi="楷体" w:eastAsia="楷体" w:cs="楷体"/>
          <w:w w:val="100"/>
        </w:rPr>
        <w:t>S</w:t>
      </w:r>
      <w:r>
        <w:rPr>
          <w:rFonts w:hint="eastAsia" w:ascii="楷体" w:hAnsi="楷体" w:eastAsia="楷体" w:cs="楷体"/>
          <w:spacing w:val="-2"/>
          <w:w w:val="100"/>
        </w:rPr>
        <w:t>D</w:t>
      </w:r>
      <w:r>
        <w:rPr>
          <w:rFonts w:hint="eastAsia" w:ascii="楷体" w:hAnsi="楷体" w:eastAsia="楷体" w:cs="楷体"/>
          <w:spacing w:val="-2"/>
          <w:w w:val="100"/>
          <w:lang w:val="en-US" w:eastAsia="zh-CN"/>
        </w:rPr>
        <w:t>S）</w:t>
      </w:r>
    </w:p>
    <w:sectPr>
      <w:headerReference r:id="rId3" w:type="default"/>
      <w:footerReference r:id="rId4" w:type="default"/>
      <w:pgSz w:w="11906" w:h="16838"/>
      <w:pgMar w:top="737" w:right="964" w:bottom="141" w:left="764" w:header="23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Fonts w:hint="eastAsia" w:ascii="宋体" w:hAnsi="宋体" w:eastAsia="宋体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2220"/>
      </w:tabs>
      <w:spacing w:line="240" w:lineRule="atLeast"/>
      <w:ind w:left="-199" w:leftChars="-95" w:firstLine="0" w:firstLineChars="0"/>
      <w:jc w:val="left"/>
      <w:rPr>
        <w:b/>
        <w:sz w:val="28"/>
        <w:szCs w:val="28"/>
      </w:rPr>
    </w:pPr>
    <w:bookmarkStart w:id="0" w:name="page1"/>
    <w:bookmarkEnd w:id="0"/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475740"/>
          <wp:effectExtent l="0" t="0" r="0" b="10160"/>
          <wp:docPr id="4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2B"/>
    <w:rsid w:val="00004D1A"/>
    <w:rsid w:val="00005739"/>
    <w:rsid w:val="00007C53"/>
    <w:rsid w:val="00012A5D"/>
    <w:rsid w:val="00017763"/>
    <w:rsid w:val="00020628"/>
    <w:rsid w:val="00021630"/>
    <w:rsid w:val="00022585"/>
    <w:rsid w:val="00022B6A"/>
    <w:rsid w:val="0004179F"/>
    <w:rsid w:val="00052226"/>
    <w:rsid w:val="00062F2F"/>
    <w:rsid w:val="00065B9F"/>
    <w:rsid w:val="00072862"/>
    <w:rsid w:val="00076882"/>
    <w:rsid w:val="00082B0B"/>
    <w:rsid w:val="00090797"/>
    <w:rsid w:val="000970A7"/>
    <w:rsid w:val="000A46DE"/>
    <w:rsid w:val="000B0E83"/>
    <w:rsid w:val="000D4708"/>
    <w:rsid w:val="000D5DF0"/>
    <w:rsid w:val="000E2B26"/>
    <w:rsid w:val="000E3B94"/>
    <w:rsid w:val="000F0549"/>
    <w:rsid w:val="000F21D4"/>
    <w:rsid w:val="000F675B"/>
    <w:rsid w:val="001059A0"/>
    <w:rsid w:val="00131C68"/>
    <w:rsid w:val="001326E0"/>
    <w:rsid w:val="00141515"/>
    <w:rsid w:val="0015664F"/>
    <w:rsid w:val="001576AB"/>
    <w:rsid w:val="001616B0"/>
    <w:rsid w:val="0017512C"/>
    <w:rsid w:val="0017599D"/>
    <w:rsid w:val="00183304"/>
    <w:rsid w:val="0018390D"/>
    <w:rsid w:val="001A5058"/>
    <w:rsid w:val="001B6112"/>
    <w:rsid w:val="001C18A0"/>
    <w:rsid w:val="001C1A9F"/>
    <w:rsid w:val="001E282C"/>
    <w:rsid w:val="001E7C37"/>
    <w:rsid w:val="001F5718"/>
    <w:rsid w:val="00212E9B"/>
    <w:rsid w:val="0022010D"/>
    <w:rsid w:val="00235703"/>
    <w:rsid w:val="00237116"/>
    <w:rsid w:val="00241BFA"/>
    <w:rsid w:val="00243850"/>
    <w:rsid w:val="00250662"/>
    <w:rsid w:val="0025093A"/>
    <w:rsid w:val="002549CF"/>
    <w:rsid w:val="00255ECD"/>
    <w:rsid w:val="002652A9"/>
    <w:rsid w:val="0026578B"/>
    <w:rsid w:val="00267BC7"/>
    <w:rsid w:val="002751B6"/>
    <w:rsid w:val="00280EE3"/>
    <w:rsid w:val="00284DD1"/>
    <w:rsid w:val="00287AA5"/>
    <w:rsid w:val="002A288E"/>
    <w:rsid w:val="002B0E07"/>
    <w:rsid w:val="002C1586"/>
    <w:rsid w:val="002C16B0"/>
    <w:rsid w:val="002C2A87"/>
    <w:rsid w:val="002C7603"/>
    <w:rsid w:val="002F5329"/>
    <w:rsid w:val="00302216"/>
    <w:rsid w:val="00325096"/>
    <w:rsid w:val="00325999"/>
    <w:rsid w:val="00347A41"/>
    <w:rsid w:val="003505BB"/>
    <w:rsid w:val="00357F4D"/>
    <w:rsid w:val="003721EC"/>
    <w:rsid w:val="003730B7"/>
    <w:rsid w:val="0037542E"/>
    <w:rsid w:val="0037669C"/>
    <w:rsid w:val="003857B0"/>
    <w:rsid w:val="003974C1"/>
    <w:rsid w:val="003A14CB"/>
    <w:rsid w:val="003A7D0C"/>
    <w:rsid w:val="003C1B06"/>
    <w:rsid w:val="003C35F3"/>
    <w:rsid w:val="003E0BB0"/>
    <w:rsid w:val="003F14A6"/>
    <w:rsid w:val="00407FE7"/>
    <w:rsid w:val="00420B3E"/>
    <w:rsid w:val="0046188A"/>
    <w:rsid w:val="004644F3"/>
    <w:rsid w:val="0047440E"/>
    <w:rsid w:val="00480582"/>
    <w:rsid w:val="0048063B"/>
    <w:rsid w:val="00483834"/>
    <w:rsid w:val="00492E5A"/>
    <w:rsid w:val="00493DFA"/>
    <w:rsid w:val="00494EFD"/>
    <w:rsid w:val="004972DC"/>
    <w:rsid w:val="004B0264"/>
    <w:rsid w:val="004B45BF"/>
    <w:rsid w:val="004B49D9"/>
    <w:rsid w:val="004B573F"/>
    <w:rsid w:val="004B6741"/>
    <w:rsid w:val="004D0C07"/>
    <w:rsid w:val="004F5504"/>
    <w:rsid w:val="00502E6B"/>
    <w:rsid w:val="00507907"/>
    <w:rsid w:val="00520599"/>
    <w:rsid w:val="0052554E"/>
    <w:rsid w:val="00534791"/>
    <w:rsid w:val="00536025"/>
    <w:rsid w:val="005413AF"/>
    <w:rsid w:val="00542F44"/>
    <w:rsid w:val="005442A3"/>
    <w:rsid w:val="00567684"/>
    <w:rsid w:val="0057226D"/>
    <w:rsid w:val="0057760D"/>
    <w:rsid w:val="00577B36"/>
    <w:rsid w:val="00583F00"/>
    <w:rsid w:val="00584C2B"/>
    <w:rsid w:val="00590EEB"/>
    <w:rsid w:val="00591450"/>
    <w:rsid w:val="0059146E"/>
    <w:rsid w:val="005A087E"/>
    <w:rsid w:val="005A4341"/>
    <w:rsid w:val="005D065C"/>
    <w:rsid w:val="005D50F8"/>
    <w:rsid w:val="005E096B"/>
    <w:rsid w:val="005F14DD"/>
    <w:rsid w:val="005F402D"/>
    <w:rsid w:val="005F720E"/>
    <w:rsid w:val="00602202"/>
    <w:rsid w:val="00604C87"/>
    <w:rsid w:val="00604F73"/>
    <w:rsid w:val="00623EB9"/>
    <w:rsid w:val="006241BF"/>
    <w:rsid w:val="00647540"/>
    <w:rsid w:val="00655740"/>
    <w:rsid w:val="0065630C"/>
    <w:rsid w:val="006565FA"/>
    <w:rsid w:val="00662BC1"/>
    <w:rsid w:val="00664D8D"/>
    <w:rsid w:val="00666324"/>
    <w:rsid w:val="006807F6"/>
    <w:rsid w:val="006A1A72"/>
    <w:rsid w:val="006B19F7"/>
    <w:rsid w:val="006B34FF"/>
    <w:rsid w:val="006B57DC"/>
    <w:rsid w:val="006D718B"/>
    <w:rsid w:val="006E0053"/>
    <w:rsid w:val="006E0212"/>
    <w:rsid w:val="006F0962"/>
    <w:rsid w:val="00702A47"/>
    <w:rsid w:val="007129AD"/>
    <w:rsid w:val="00717B48"/>
    <w:rsid w:val="00720FD0"/>
    <w:rsid w:val="007401B7"/>
    <w:rsid w:val="007459C7"/>
    <w:rsid w:val="00746A4F"/>
    <w:rsid w:val="00747DA4"/>
    <w:rsid w:val="00755A16"/>
    <w:rsid w:val="00761E70"/>
    <w:rsid w:val="007646AC"/>
    <w:rsid w:val="00774E75"/>
    <w:rsid w:val="0077546F"/>
    <w:rsid w:val="00776E17"/>
    <w:rsid w:val="00782F06"/>
    <w:rsid w:val="0078498A"/>
    <w:rsid w:val="00785ED5"/>
    <w:rsid w:val="00790CC6"/>
    <w:rsid w:val="00793505"/>
    <w:rsid w:val="00796BD9"/>
    <w:rsid w:val="007A1BD6"/>
    <w:rsid w:val="007A7B0A"/>
    <w:rsid w:val="007D7604"/>
    <w:rsid w:val="007E0642"/>
    <w:rsid w:val="007E324E"/>
    <w:rsid w:val="00801006"/>
    <w:rsid w:val="00801E77"/>
    <w:rsid w:val="00811BCC"/>
    <w:rsid w:val="008125EB"/>
    <w:rsid w:val="0081681A"/>
    <w:rsid w:val="008236A9"/>
    <w:rsid w:val="00824621"/>
    <w:rsid w:val="0082688E"/>
    <w:rsid w:val="00833C02"/>
    <w:rsid w:val="008368D1"/>
    <w:rsid w:val="00846FC5"/>
    <w:rsid w:val="00847675"/>
    <w:rsid w:val="008500A0"/>
    <w:rsid w:val="008517A2"/>
    <w:rsid w:val="00865272"/>
    <w:rsid w:val="0087257A"/>
    <w:rsid w:val="00877D69"/>
    <w:rsid w:val="0088298C"/>
    <w:rsid w:val="008A2595"/>
    <w:rsid w:val="008E7837"/>
    <w:rsid w:val="008F3DC6"/>
    <w:rsid w:val="008F6259"/>
    <w:rsid w:val="008F7BE0"/>
    <w:rsid w:val="00902D15"/>
    <w:rsid w:val="00903E5C"/>
    <w:rsid w:val="00914927"/>
    <w:rsid w:val="00916AB1"/>
    <w:rsid w:val="009270AE"/>
    <w:rsid w:val="00940509"/>
    <w:rsid w:val="009423D1"/>
    <w:rsid w:val="0094666C"/>
    <w:rsid w:val="00946E25"/>
    <w:rsid w:val="0094714E"/>
    <w:rsid w:val="00947A69"/>
    <w:rsid w:val="00947B46"/>
    <w:rsid w:val="00962660"/>
    <w:rsid w:val="00971CE2"/>
    <w:rsid w:val="009854E7"/>
    <w:rsid w:val="00992189"/>
    <w:rsid w:val="009960D8"/>
    <w:rsid w:val="009A04AE"/>
    <w:rsid w:val="009A46FA"/>
    <w:rsid w:val="009A4AC8"/>
    <w:rsid w:val="009C112B"/>
    <w:rsid w:val="009D7F36"/>
    <w:rsid w:val="009E4547"/>
    <w:rsid w:val="009E59BF"/>
    <w:rsid w:val="009F26F4"/>
    <w:rsid w:val="00A06656"/>
    <w:rsid w:val="00A2533B"/>
    <w:rsid w:val="00A42FF7"/>
    <w:rsid w:val="00A460F4"/>
    <w:rsid w:val="00A518FA"/>
    <w:rsid w:val="00A52E3D"/>
    <w:rsid w:val="00A6185A"/>
    <w:rsid w:val="00A67223"/>
    <w:rsid w:val="00A738FE"/>
    <w:rsid w:val="00A87659"/>
    <w:rsid w:val="00A9239D"/>
    <w:rsid w:val="00AB198F"/>
    <w:rsid w:val="00AB1E72"/>
    <w:rsid w:val="00AB5E97"/>
    <w:rsid w:val="00AE0531"/>
    <w:rsid w:val="00AE4EBF"/>
    <w:rsid w:val="00B00CD5"/>
    <w:rsid w:val="00B00D76"/>
    <w:rsid w:val="00B114D9"/>
    <w:rsid w:val="00B163E6"/>
    <w:rsid w:val="00B169DC"/>
    <w:rsid w:val="00B21BF6"/>
    <w:rsid w:val="00B27032"/>
    <w:rsid w:val="00B52A17"/>
    <w:rsid w:val="00B545D2"/>
    <w:rsid w:val="00B5733B"/>
    <w:rsid w:val="00B61BA5"/>
    <w:rsid w:val="00B63583"/>
    <w:rsid w:val="00B6488F"/>
    <w:rsid w:val="00B64E4F"/>
    <w:rsid w:val="00B702CF"/>
    <w:rsid w:val="00B718B0"/>
    <w:rsid w:val="00B832F5"/>
    <w:rsid w:val="00B8360D"/>
    <w:rsid w:val="00B92480"/>
    <w:rsid w:val="00BB08C1"/>
    <w:rsid w:val="00BB2C24"/>
    <w:rsid w:val="00BB58B8"/>
    <w:rsid w:val="00BC10F7"/>
    <w:rsid w:val="00BC567B"/>
    <w:rsid w:val="00BF34A7"/>
    <w:rsid w:val="00C11AC5"/>
    <w:rsid w:val="00C1403A"/>
    <w:rsid w:val="00C201B4"/>
    <w:rsid w:val="00C210F3"/>
    <w:rsid w:val="00C22B67"/>
    <w:rsid w:val="00C22DF7"/>
    <w:rsid w:val="00C26E3B"/>
    <w:rsid w:val="00C34929"/>
    <w:rsid w:val="00C4601A"/>
    <w:rsid w:val="00C52A69"/>
    <w:rsid w:val="00C532D1"/>
    <w:rsid w:val="00C706BA"/>
    <w:rsid w:val="00CA4BEB"/>
    <w:rsid w:val="00CA6D25"/>
    <w:rsid w:val="00CB3C6C"/>
    <w:rsid w:val="00CC107A"/>
    <w:rsid w:val="00CD143A"/>
    <w:rsid w:val="00CD6115"/>
    <w:rsid w:val="00D052C7"/>
    <w:rsid w:val="00D129E8"/>
    <w:rsid w:val="00D15128"/>
    <w:rsid w:val="00D21CCD"/>
    <w:rsid w:val="00D22E76"/>
    <w:rsid w:val="00D30F1C"/>
    <w:rsid w:val="00D31E34"/>
    <w:rsid w:val="00D515C6"/>
    <w:rsid w:val="00D61CEE"/>
    <w:rsid w:val="00D64587"/>
    <w:rsid w:val="00D755D0"/>
    <w:rsid w:val="00D90DF8"/>
    <w:rsid w:val="00D91F60"/>
    <w:rsid w:val="00D93D71"/>
    <w:rsid w:val="00DA1B0B"/>
    <w:rsid w:val="00DB1165"/>
    <w:rsid w:val="00DC00B0"/>
    <w:rsid w:val="00DC331D"/>
    <w:rsid w:val="00DE75E3"/>
    <w:rsid w:val="00DF3D9E"/>
    <w:rsid w:val="00E011F5"/>
    <w:rsid w:val="00E24610"/>
    <w:rsid w:val="00E265EB"/>
    <w:rsid w:val="00E47CC7"/>
    <w:rsid w:val="00E5506E"/>
    <w:rsid w:val="00E61AA2"/>
    <w:rsid w:val="00E6210F"/>
    <w:rsid w:val="00E6286D"/>
    <w:rsid w:val="00E828AB"/>
    <w:rsid w:val="00E84344"/>
    <w:rsid w:val="00E92392"/>
    <w:rsid w:val="00E96058"/>
    <w:rsid w:val="00EA0E76"/>
    <w:rsid w:val="00EA7CCE"/>
    <w:rsid w:val="00EB4C77"/>
    <w:rsid w:val="00EC4262"/>
    <w:rsid w:val="00EC6903"/>
    <w:rsid w:val="00EE2DED"/>
    <w:rsid w:val="00EE3E29"/>
    <w:rsid w:val="00EE453E"/>
    <w:rsid w:val="00EE6CE5"/>
    <w:rsid w:val="00EF3A05"/>
    <w:rsid w:val="00EF68E8"/>
    <w:rsid w:val="00F039DC"/>
    <w:rsid w:val="00F03DED"/>
    <w:rsid w:val="00F0539A"/>
    <w:rsid w:val="00F17386"/>
    <w:rsid w:val="00F17EA5"/>
    <w:rsid w:val="00F334B3"/>
    <w:rsid w:val="00F41183"/>
    <w:rsid w:val="00F41DC4"/>
    <w:rsid w:val="00F50422"/>
    <w:rsid w:val="00F92B98"/>
    <w:rsid w:val="00FA0EFB"/>
    <w:rsid w:val="00FA325E"/>
    <w:rsid w:val="00FB11E3"/>
    <w:rsid w:val="00FB4D12"/>
    <w:rsid w:val="00FC508C"/>
    <w:rsid w:val="00FD3A9A"/>
    <w:rsid w:val="00FD3D2A"/>
    <w:rsid w:val="00FD61B5"/>
    <w:rsid w:val="00FD7AC3"/>
    <w:rsid w:val="00FD7C1B"/>
    <w:rsid w:val="00FF68BA"/>
    <w:rsid w:val="119E09BA"/>
    <w:rsid w:val="15CA57E6"/>
    <w:rsid w:val="169F4C69"/>
    <w:rsid w:val="1BF34B5D"/>
    <w:rsid w:val="2B6062F1"/>
    <w:rsid w:val="2C3350AB"/>
    <w:rsid w:val="2D384E35"/>
    <w:rsid w:val="33D10631"/>
    <w:rsid w:val="3D640B09"/>
    <w:rsid w:val="3EA95581"/>
    <w:rsid w:val="478143C2"/>
    <w:rsid w:val="4A352382"/>
    <w:rsid w:val="4AED7749"/>
    <w:rsid w:val="4DCE2EDB"/>
    <w:rsid w:val="55F54066"/>
    <w:rsid w:val="56FF0DED"/>
    <w:rsid w:val="64C8306C"/>
    <w:rsid w:val="68E6170E"/>
    <w:rsid w:val="763A0A29"/>
    <w:rsid w:val="7C886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216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0"/>
      <w:ind w:left="336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spacing w:before="41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paragraph" w:styleId="11">
    <w:name w:val="List Paragraph"/>
    <w:basedOn w:val="1"/>
    <w:qFormat/>
    <w:uiPriority w:val="1"/>
    <w:pPr>
      <w:spacing w:before="43"/>
      <w:ind w:left="678" w:hanging="13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456</Words>
  <Characters>487</Characters>
  <Lines>3</Lines>
  <Paragraphs>1</Paragraphs>
  <TotalTime>5</TotalTime>
  <ScaleCrop>false</ScaleCrop>
  <LinksUpToDate>false</LinksUpToDate>
  <CharactersWithSpaces>529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2014-09-18T04:38:00Z</dcterms:created>
  <dc:creator>USER</dc:creator>
  <cp:lastModifiedBy>康達科技集團-力達創新馮順德</cp:lastModifiedBy>
  <cp:lastPrinted>2010-08-10T14:57:00Z</cp:lastPrinted>
  <dcterms:modified xsi:type="dcterms:W3CDTF">2020-05-12T07:50:48Z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